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59533" w14:textId="77777777" w:rsidR="004B78F0" w:rsidRPr="00AD4071" w:rsidRDefault="004B78F0"/>
    <w:tbl>
      <w:tblPr>
        <w:tblStyle w:val="GridTable4-Accent5"/>
        <w:tblW w:w="5015" w:type="pct"/>
        <w:tblLayout w:type="fixed"/>
        <w:tblLook w:val="04A0" w:firstRow="1" w:lastRow="0" w:firstColumn="1" w:lastColumn="0" w:noHBand="0" w:noVBand="1"/>
      </w:tblPr>
      <w:tblGrid>
        <w:gridCol w:w="1345"/>
        <w:gridCol w:w="2700"/>
        <w:gridCol w:w="2700"/>
        <w:gridCol w:w="2250"/>
        <w:gridCol w:w="4860"/>
      </w:tblGrid>
      <w:tr w:rsidR="003D70C4" w:rsidRPr="00AD4071" w14:paraId="378C5A66" w14:textId="77777777" w:rsidTr="003D70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5" w:type="pct"/>
            <w:vAlign w:val="center"/>
          </w:tcPr>
          <w:p w14:paraId="5E29B060" w14:textId="77777777" w:rsidR="00A46440" w:rsidRPr="00FC44EB" w:rsidRDefault="00A46440" w:rsidP="00ED3CAE">
            <w:pPr>
              <w:ind w:left="155" w:hanging="155"/>
              <w:jc w:val="center"/>
              <w:rPr>
                <w:b w:val="0"/>
                <w:sz w:val="16"/>
                <w:szCs w:val="16"/>
              </w:rPr>
            </w:pPr>
            <w:r w:rsidRPr="00FC44EB">
              <w:rPr>
                <w:sz w:val="16"/>
                <w:szCs w:val="16"/>
              </w:rPr>
              <w:t>Use Case</w:t>
            </w:r>
          </w:p>
        </w:tc>
        <w:tc>
          <w:tcPr>
            <w:tcW w:w="974" w:type="pct"/>
            <w:vAlign w:val="center"/>
          </w:tcPr>
          <w:p w14:paraId="00602D9E" w14:textId="77777777" w:rsidR="00A46440" w:rsidRPr="00FC44EB" w:rsidRDefault="00A46440" w:rsidP="00ED3CAE">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44EB">
              <w:rPr>
                <w:sz w:val="16"/>
                <w:szCs w:val="16"/>
              </w:rPr>
              <w:t>Description</w:t>
            </w:r>
          </w:p>
        </w:tc>
        <w:tc>
          <w:tcPr>
            <w:tcW w:w="974" w:type="pct"/>
            <w:vAlign w:val="center"/>
          </w:tcPr>
          <w:p w14:paraId="3D30BA3F" w14:textId="77777777" w:rsidR="00A46440" w:rsidRPr="00FC44EB" w:rsidRDefault="00A46440" w:rsidP="00ED3CAE">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44EB">
              <w:rPr>
                <w:sz w:val="16"/>
                <w:szCs w:val="16"/>
              </w:rPr>
              <w:t>Other Possible Technologies Required</w:t>
            </w:r>
          </w:p>
        </w:tc>
        <w:tc>
          <w:tcPr>
            <w:tcW w:w="812" w:type="pct"/>
            <w:vAlign w:val="center"/>
          </w:tcPr>
          <w:p w14:paraId="1165E3FC" w14:textId="77777777" w:rsidR="00A46440" w:rsidRPr="00FC44EB" w:rsidRDefault="00A46440" w:rsidP="00ED3CAE">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44EB">
              <w:rPr>
                <w:sz w:val="16"/>
                <w:szCs w:val="16"/>
              </w:rPr>
              <w:t>Samples</w:t>
            </w:r>
          </w:p>
        </w:tc>
        <w:tc>
          <w:tcPr>
            <w:tcW w:w="1754" w:type="pct"/>
            <w:vAlign w:val="center"/>
          </w:tcPr>
          <w:p w14:paraId="0CE7E6C2" w14:textId="77777777" w:rsidR="00A46440" w:rsidRPr="00FC44EB" w:rsidRDefault="00A46440" w:rsidP="00ED3CAE">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FC44EB">
              <w:rPr>
                <w:sz w:val="16"/>
                <w:szCs w:val="16"/>
              </w:rPr>
              <w:t>Comments</w:t>
            </w:r>
          </w:p>
        </w:tc>
      </w:tr>
      <w:tr w:rsidR="003D70C4" w:rsidRPr="00AD4071" w14:paraId="7FDC2C1C" w14:textId="77777777" w:rsidTr="003D70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pct"/>
          </w:tcPr>
          <w:p w14:paraId="7EAA809B" w14:textId="585FF8CE" w:rsidR="00A92E4B" w:rsidRPr="00FC44EB" w:rsidRDefault="00A92E4B" w:rsidP="00940A44">
            <w:pPr>
              <w:pStyle w:val="ListParagraph"/>
              <w:numPr>
                <w:ilvl w:val="0"/>
                <w:numId w:val="7"/>
              </w:numPr>
              <w:ind w:left="155" w:hanging="155"/>
              <w:rPr>
                <w:sz w:val="14"/>
                <w:szCs w:val="14"/>
              </w:rPr>
            </w:pPr>
            <w:bookmarkStart w:id="0" w:name="_Hlk34911952"/>
            <w:bookmarkStart w:id="1" w:name="_Hlk34911868"/>
            <w:r w:rsidRPr="00FC44EB">
              <w:rPr>
                <w:sz w:val="14"/>
                <w:szCs w:val="14"/>
              </w:rPr>
              <w:t>Triage</w:t>
            </w:r>
            <w:r w:rsidR="009F3B40">
              <w:rPr>
                <w:sz w:val="14"/>
                <w:szCs w:val="14"/>
              </w:rPr>
              <w:t xml:space="preserve"> </w:t>
            </w:r>
            <w:r w:rsidRPr="00FC44EB">
              <w:rPr>
                <w:sz w:val="14"/>
                <w:szCs w:val="14"/>
              </w:rPr>
              <w:t>of symptomatic individuals in an epidemic setting</w:t>
            </w:r>
            <w:bookmarkEnd w:id="0"/>
          </w:p>
        </w:tc>
        <w:tc>
          <w:tcPr>
            <w:tcW w:w="974" w:type="pct"/>
          </w:tcPr>
          <w:p w14:paraId="0679364A" w14:textId="71E8CA13" w:rsidR="00A92E4B" w:rsidRPr="00FC44EB" w:rsidRDefault="004924C5"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The intended use is to determine if a symptomatic individual in an epidemic setting has a reasonable likelihood of a current </w:t>
            </w:r>
            <w:r w:rsidR="007D55EB">
              <w:rPr>
                <w:sz w:val="14"/>
                <w:szCs w:val="14"/>
              </w:rPr>
              <w:t>SARS-C</w:t>
            </w:r>
            <w:r w:rsidR="00AC0FEF">
              <w:rPr>
                <w:sz w:val="14"/>
                <w:szCs w:val="14"/>
              </w:rPr>
              <w:t>o</w:t>
            </w:r>
            <w:r w:rsidR="007D55EB">
              <w:rPr>
                <w:sz w:val="14"/>
                <w:szCs w:val="14"/>
              </w:rPr>
              <w:t>V-2 virus</w:t>
            </w:r>
            <w:r w:rsidRPr="00FC44EB">
              <w:rPr>
                <w:sz w:val="14"/>
                <w:szCs w:val="14"/>
              </w:rPr>
              <w:t xml:space="preserve"> </w:t>
            </w:r>
            <w:r w:rsidR="00685DEE" w:rsidRPr="00FC44EB">
              <w:rPr>
                <w:sz w:val="14"/>
                <w:szCs w:val="14"/>
              </w:rPr>
              <w:t xml:space="preserve">infection </w:t>
            </w:r>
            <w:r w:rsidRPr="00FC44EB">
              <w:rPr>
                <w:sz w:val="14"/>
                <w:szCs w:val="14"/>
              </w:rPr>
              <w:t>warranting temporary isolation pending confirmatory testing</w:t>
            </w:r>
          </w:p>
          <w:p w14:paraId="1D55CF92" w14:textId="77777777" w:rsidR="00BC6797" w:rsidRPr="00FC44EB" w:rsidRDefault="004924C5"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Target use settings </w:t>
            </w:r>
            <w:r w:rsidR="00BC6797" w:rsidRPr="00FC44EB">
              <w:rPr>
                <w:sz w:val="14"/>
                <w:szCs w:val="14"/>
              </w:rPr>
              <w:t>can be divided into two groups:</w:t>
            </w:r>
          </w:p>
          <w:p w14:paraId="2480900E" w14:textId="79722B0F" w:rsidR="004924C5" w:rsidRPr="00FC44EB" w:rsidRDefault="00BC6797" w:rsidP="00BC6797">
            <w:pPr>
              <w:pStyle w:val="ListParagraph"/>
              <w:numPr>
                <w:ilvl w:val="1"/>
                <w:numId w:val="3"/>
              </w:numPr>
              <w:ind w:left="406" w:hanging="27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Group 1: S</w:t>
            </w:r>
            <w:r w:rsidR="004924C5" w:rsidRPr="00FC44EB">
              <w:rPr>
                <w:sz w:val="14"/>
                <w:szCs w:val="14"/>
              </w:rPr>
              <w:t xml:space="preserve">ites with </w:t>
            </w:r>
            <w:r w:rsidR="00A825BF" w:rsidRPr="00FC44EB">
              <w:rPr>
                <w:sz w:val="14"/>
                <w:szCs w:val="14"/>
              </w:rPr>
              <w:t>temporary (days) or fulltime residents</w:t>
            </w:r>
            <w:r w:rsidR="004924C5" w:rsidRPr="00FC44EB">
              <w:rPr>
                <w:sz w:val="14"/>
                <w:szCs w:val="14"/>
              </w:rPr>
              <w:t xml:space="preserve"> </w:t>
            </w:r>
            <w:r w:rsidR="00A825BF" w:rsidRPr="00FC44EB">
              <w:rPr>
                <w:sz w:val="14"/>
                <w:szCs w:val="14"/>
              </w:rPr>
              <w:t xml:space="preserve">such as </w:t>
            </w:r>
            <w:r w:rsidR="004924C5" w:rsidRPr="00FC44EB">
              <w:rPr>
                <w:sz w:val="14"/>
                <w:szCs w:val="14"/>
              </w:rPr>
              <w:t>assisted living centers, cruise ships</w:t>
            </w:r>
            <w:r w:rsidR="00E41573" w:rsidRPr="00FC44EB">
              <w:rPr>
                <w:sz w:val="14"/>
                <w:szCs w:val="14"/>
              </w:rPr>
              <w:t xml:space="preserve">, </w:t>
            </w:r>
            <w:r w:rsidR="004924C5" w:rsidRPr="00FC44EB">
              <w:rPr>
                <w:sz w:val="14"/>
                <w:szCs w:val="14"/>
              </w:rPr>
              <w:t>hospitals</w:t>
            </w:r>
            <w:r w:rsidR="00F13DA7">
              <w:rPr>
                <w:sz w:val="14"/>
                <w:szCs w:val="14"/>
              </w:rPr>
              <w:t>, prisons</w:t>
            </w:r>
            <w:r w:rsidR="004924C5" w:rsidRPr="00FC44EB">
              <w:rPr>
                <w:sz w:val="14"/>
                <w:szCs w:val="14"/>
              </w:rPr>
              <w:t xml:space="preserve"> and quarantine facilities.</w:t>
            </w:r>
          </w:p>
          <w:p w14:paraId="522D918C" w14:textId="77777777" w:rsidR="00DC7774" w:rsidRDefault="00BC6797" w:rsidP="00DC7774">
            <w:pPr>
              <w:pStyle w:val="ListParagraph"/>
              <w:numPr>
                <w:ilvl w:val="1"/>
                <w:numId w:val="3"/>
              </w:numPr>
              <w:ind w:left="406" w:hanging="27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Group 2:</w:t>
            </w:r>
            <w:r w:rsidR="004924C5" w:rsidRPr="00FC44EB">
              <w:rPr>
                <w:sz w:val="14"/>
                <w:szCs w:val="14"/>
              </w:rPr>
              <w:t xml:space="preserve"> </w:t>
            </w:r>
            <w:r w:rsidR="00342A32" w:rsidRPr="00FC44EB">
              <w:rPr>
                <w:sz w:val="14"/>
                <w:szCs w:val="14"/>
              </w:rPr>
              <w:t>S</w:t>
            </w:r>
            <w:r w:rsidR="004924C5" w:rsidRPr="00FC44EB">
              <w:rPr>
                <w:sz w:val="14"/>
                <w:szCs w:val="14"/>
              </w:rPr>
              <w:t>ettings could include</w:t>
            </w:r>
            <w:r w:rsidR="00A825BF" w:rsidRPr="00FC44EB">
              <w:rPr>
                <w:sz w:val="14"/>
                <w:szCs w:val="14"/>
              </w:rPr>
              <w:t xml:space="preserve"> </w:t>
            </w:r>
            <w:r w:rsidR="004924C5" w:rsidRPr="00FC44EB">
              <w:rPr>
                <w:sz w:val="14"/>
                <w:szCs w:val="14"/>
              </w:rPr>
              <w:t>public</w:t>
            </w:r>
            <w:r w:rsidR="00E41573" w:rsidRPr="00FC44EB">
              <w:rPr>
                <w:sz w:val="14"/>
                <w:szCs w:val="14"/>
              </w:rPr>
              <w:t xml:space="preserve"> and community</w:t>
            </w:r>
            <w:r w:rsidR="004924C5" w:rsidRPr="00FC44EB">
              <w:rPr>
                <w:sz w:val="14"/>
                <w:szCs w:val="14"/>
              </w:rPr>
              <w:t xml:space="preserve"> health centers, primary care facilities, urgent care clinics, and emergency departments</w:t>
            </w:r>
            <w:r w:rsidRPr="00FC44EB">
              <w:rPr>
                <w:sz w:val="14"/>
                <w:szCs w:val="14"/>
              </w:rPr>
              <w:t xml:space="preserve"> in outbreak areas where symptomatic individuals could be expected to visit for work-up.  </w:t>
            </w:r>
          </w:p>
          <w:p w14:paraId="6E14C898" w14:textId="5492DCAB" w:rsidR="00DC7774" w:rsidRPr="00EF4222" w:rsidRDefault="00DC7774" w:rsidP="00DC7774">
            <w:pPr>
              <w:pStyle w:val="ListParagraph"/>
              <w:numPr>
                <w:ilvl w:val="1"/>
                <w:numId w:val="3"/>
              </w:numPr>
              <w:ind w:left="406" w:hanging="27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Confirmation testing is </w:t>
            </w:r>
            <w:r w:rsidR="00937E6E">
              <w:rPr>
                <w:sz w:val="14"/>
                <w:szCs w:val="14"/>
              </w:rPr>
              <w:t xml:space="preserve">required and is </w:t>
            </w:r>
            <w:r>
              <w:rPr>
                <w:sz w:val="14"/>
                <w:szCs w:val="14"/>
              </w:rPr>
              <w:t>described in Use Case 4</w:t>
            </w:r>
          </w:p>
        </w:tc>
        <w:tc>
          <w:tcPr>
            <w:tcW w:w="974" w:type="pct"/>
          </w:tcPr>
          <w:p w14:paraId="5BAD6A49" w14:textId="758B6218" w:rsidR="00907A2F" w:rsidRPr="00FC44EB" w:rsidRDefault="00907A2F" w:rsidP="00DD5519">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No triage tests for COVID-19 exist today</w:t>
            </w:r>
          </w:p>
          <w:p w14:paraId="714F3C0F" w14:textId="50D24469" w:rsidR="00DD5519" w:rsidRPr="00FC44EB" w:rsidRDefault="00BA2E5B" w:rsidP="00DD5519">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Typically,</w:t>
            </w:r>
            <w:r w:rsidR="004E138A" w:rsidRPr="00FC44EB">
              <w:rPr>
                <w:sz w:val="14"/>
                <w:szCs w:val="14"/>
              </w:rPr>
              <w:t xml:space="preserve"> a</w:t>
            </w:r>
            <w:r w:rsidR="00DD5519" w:rsidRPr="00FC44EB">
              <w:rPr>
                <w:sz w:val="14"/>
                <w:szCs w:val="14"/>
              </w:rPr>
              <w:t xml:space="preserve"> confirmatory test using different targets is needed</w:t>
            </w:r>
            <w:r w:rsidR="00A825BF" w:rsidRPr="00FC44EB">
              <w:rPr>
                <w:sz w:val="14"/>
                <w:szCs w:val="14"/>
              </w:rPr>
              <w:t xml:space="preserve">, unless </w:t>
            </w:r>
            <w:r w:rsidR="00342A32" w:rsidRPr="00FC44EB">
              <w:rPr>
                <w:sz w:val="14"/>
                <w:szCs w:val="14"/>
              </w:rPr>
              <w:t xml:space="preserve">triage test </w:t>
            </w:r>
            <w:r w:rsidR="00A825BF" w:rsidRPr="00FC44EB">
              <w:rPr>
                <w:sz w:val="14"/>
                <w:szCs w:val="14"/>
              </w:rPr>
              <w:t>clinical performance is very high</w:t>
            </w:r>
          </w:p>
          <w:p w14:paraId="2D974D82" w14:textId="240F3397" w:rsidR="00342A32" w:rsidRPr="00FC44EB" w:rsidRDefault="00342A32" w:rsidP="00DD5519">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It is possible that </w:t>
            </w:r>
            <w:r w:rsidR="003814C4" w:rsidRPr="00FC44EB">
              <w:rPr>
                <w:sz w:val="14"/>
                <w:szCs w:val="14"/>
              </w:rPr>
              <w:t xml:space="preserve">home </w:t>
            </w:r>
            <w:r w:rsidRPr="00FC44EB">
              <w:rPr>
                <w:sz w:val="14"/>
                <w:szCs w:val="14"/>
              </w:rPr>
              <w:t>self-tests will be deployed for triage</w:t>
            </w:r>
            <w:r w:rsidR="000F63F3" w:rsidRPr="00FC44EB">
              <w:rPr>
                <w:sz w:val="14"/>
                <w:szCs w:val="14"/>
              </w:rPr>
              <w:t xml:space="preserve"> — where</w:t>
            </w:r>
            <w:r w:rsidRPr="00FC44EB">
              <w:rPr>
                <w:sz w:val="14"/>
                <w:szCs w:val="14"/>
              </w:rPr>
              <w:t xml:space="preserve"> positive results are not diagnostic, but</w:t>
            </w:r>
            <w:r w:rsidR="000F63F3" w:rsidRPr="00FC44EB">
              <w:rPr>
                <w:sz w:val="14"/>
                <w:szCs w:val="14"/>
              </w:rPr>
              <w:t xml:space="preserve"> will</w:t>
            </w:r>
            <w:r w:rsidRPr="00FC44EB">
              <w:rPr>
                <w:sz w:val="14"/>
                <w:szCs w:val="14"/>
              </w:rPr>
              <w:t xml:space="preserve"> </w:t>
            </w:r>
            <w:r w:rsidR="000F63F3" w:rsidRPr="00FC44EB">
              <w:rPr>
                <w:sz w:val="14"/>
                <w:szCs w:val="14"/>
              </w:rPr>
              <w:t>indicate</w:t>
            </w:r>
            <w:r w:rsidRPr="00FC44EB">
              <w:rPr>
                <w:sz w:val="14"/>
                <w:szCs w:val="14"/>
              </w:rPr>
              <w:t xml:space="preserve"> that the individual should go to an appropriate </w:t>
            </w:r>
            <w:r w:rsidR="008032B3" w:rsidRPr="00FC44EB">
              <w:rPr>
                <w:sz w:val="14"/>
                <w:szCs w:val="14"/>
              </w:rPr>
              <w:t xml:space="preserve">confirmatory </w:t>
            </w:r>
            <w:r w:rsidRPr="00FC44EB">
              <w:rPr>
                <w:sz w:val="14"/>
                <w:szCs w:val="14"/>
              </w:rPr>
              <w:t xml:space="preserve">testing center or </w:t>
            </w:r>
            <w:r w:rsidR="00F13DA7">
              <w:rPr>
                <w:sz w:val="14"/>
                <w:szCs w:val="14"/>
              </w:rPr>
              <w:t>health</w:t>
            </w:r>
            <w:r w:rsidRPr="00FC44EB">
              <w:rPr>
                <w:sz w:val="14"/>
                <w:szCs w:val="14"/>
              </w:rPr>
              <w:t>care facility</w:t>
            </w:r>
          </w:p>
          <w:p w14:paraId="4950D641" w14:textId="77777777" w:rsidR="00AC0FEF" w:rsidRDefault="00DD5519" w:rsidP="00DD5519">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Information and communications technologies (ICT) to capture and report data for reporting to other stakeholders is needed (e.g. healthcare workers, MOH, Public Health, CDC, WHO). </w:t>
            </w:r>
          </w:p>
          <w:p w14:paraId="43FC7392" w14:textId="26CAFFAD" w:rsidR="00A92E4B" w:rsidRPr="00FC44EB" w:rsidRDefault="0076436B" w:rsidP="00DD5519">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It is conceivable that a </w:t>
            </w:r>
            <w:r w:rsidR="00AC0FEF">
              <w:rPr>
                <w:sz w:val="14"/>
                <w:szCs w:val="14"/>
              </w:rPr>
              <w:t>well-structured</w:t>
            </w:r>
            <w:r>
              <w:rPr>
                <w:sz w:val="14"/>
                <w:szCs w:val="14"/>
              </w:rPr>
              <w:t xml:space="preserve"> questionnaire or risk calculator could be used instead of or in addition to medical tests to </w:t>
            </w:r>
            <w:r w:rsidR="00AC0FEF">
              <w:rPr>
                <w:sz w:val="14"/>
                <w:szCs w:val="14"/>
              </w:rPr>
              <w:t>deliver</w:t>
            </w:r>
            <w:r>
              <w:rPr>
                <w:sz w:val="14"/>
                <w:szCs w:val="14"/>
              </w:rPr>
              <w:t xml:space="preserve"> adequate performance </w:t>
            </w:r>
            <w:r w:rsidR="00AC0FEF">
              <w:rPr>
                <w:sz w:val="14"/>
                <w:szCs w:val="14"/>
              </w:rPr>
              <w:t>(see Use Case 10)</w:t>
            </w:r>
          </w:p>
          <w:p w14:paraId="2E606D06" w14:textId="6D968F18" w:rsidR="00DD5519" w:rsidRPr="00FC44EB" w:rsidRDefault="00DD5519" w:rsidP="00DD5519">
            <w:pPr>
              <w:cnfStyle w:val="000000100000" w:firstRow="0" w:lastRow="0" w:firstColumn="0" w:lastColumn="0" w:oddVBand="0" w:evenVBand="0" w:oddHBand="1" w:evenHBand="0" w:firstRowFirstColumn="0" w:firstRowLastColumn="0" w:lastRowFirstColumn="0" w:lastRowLastColumn="0"/>
              <w:rPr>
                <w:sz w:val="14"/>
                <w:szCs w:val="14"/>
              </w:rPr>
            </w:pPr>
          </w:p>
        </w:tc>
        <w:tc>
          <w:tcPr>
            <w:tcW w:w="812" w:type="pct"/>
          </w:tcPr>
          <w:p w14:paraId="4DB8F5E7" w14:textId="6F0B52B0" w:rsidR="00F13DA7" w:rsidRPr="00F13DA7" w:rsidRDefault="00CE6B0F" w:rsidP="00F13DA7">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13DA7">
              <w:rPr>
                <w:sz w:val="14"/>
                <w:szCs w:val="14"/>
              </w:rPr>
              <w:t>It may not be practical to obtain and process all sample types in all settings.  “Sample-to-results” procedures should be carefully considered and matched to the end user capabilities.</w:t>
            </w:r>
          </w:p>
          <w:p w14:paraId="5A20B06B" w14:textId="5B0DC49D" w:rsidR="009F3B40" w:rsidRPr="00F13DA7" w:rsidRDefault="00342A32" w:rsidP="00F13DA7">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13DA7">
              <w:rPr>
                <w:sz w:val="14"/>
                <w:szCs w:val="14"/>
              </w:rPr>
              <w:t>For self-tests</w:t>
            </w:r>
            <w:r w:rsidR="00AE1475" w:rsidRPr="00F13DA7">
              <w:rPr>
                <w:sz w:val="14"/>
                <w:szCs w:val="14"/>
              </w:rPr>
              <w:t xml:space="preserve"> or self-collection</w:t>
            </w:r>
            <w:r w:rsidRPr="00F13DA7">
              <w:rPr>
                <w:sz w:val="14"/>
                <w:szCs w:val="14"/>
              </w:rPr>
              <w:t xml:space="preserve">, </w:t>
            </w:r>
            <w:r w:rsidR="00AE1475" w:rsidRPr="00F13DA7">
              <w:rPr>
                <w:sz w:val="14"/>
                <w:szCs w:val="14"/>
              </w:rPr>
              <w:t>saliva</w:t>
            </w:r>
            <w:r w:rsidRPr="00F13DA7">
              <w:rPr>
                <w:sz w:val="14"/>
                <w:szCs w:val="14"/>
              </w:rPr>
              <w:t xml:space="preserve"> or </w:t>
            </w:r>
            <w:r w:rsidR="00AE1475" w:rsidRPr="00F13DA7">
              <w:rPr>
                <w:sz w:val="14"/>
                <w:szCs w:val="14"/>
              </w:rPr>
              <w:t xml:space="preserve">nasal swabs (not </w:t>
            </w:r>
            <w:r w:rsidR="00AC0FEF" w:rsidRPr="00F13DA7">
              <w:rPr>
                <w:sz w:val="14"/>
                <w:szCs w:val="14"/>
              </w:rPr>
              <w:t>nasopharyngeal) are</w:t>
            </w:r>
            <w:r w:rsidRPr="00F13DA7">
              <w:rPr>
                <w:sz w:val="14"/>
                <w:szCs w:val="14"/>
              </w:rPr>
              <w:t xml:space="preserve"> preferred  </w:t>
            </w:r>
          </w:p>
          <w:p w14:paraId="79CCBDB1" w14:textId="142E992C" w:rsidR="009F3B40" w:rsidRPr="00EF4222" w:rsidRDefault="009F3B40" w:rsidP="00AE1475">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Simple low-cost biological targets such as blood cells or breath VOCs could be employed </w:t>
            </w:r>
            <w:r w:rsidR="00AE1475">
              <w:rPr>
                <w:sz w:val="14"/>
                <w:szCs w:val="14"/>
              </w:rPr>
              <w:t>where f</w:t>
            </w:r>
            <w:r w:rsidRPr="00EF4222">
              <w:rPr>
                <w:sz w:val="14"/>
                <w:szCs w:val="14"/>
              </w:rPr>
              <w:t>inger prick blood or breath could be acceptable samples</w:t>
            </w:r>
          </w:p>
          <w:p w14:paraId="732AB92D" w14:textId="77777777" w:rsidR="00840FE8" w:rsidRDefault="00840FE8" w:rsidP="00EF4222">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p w14:paraId="5A803DFA"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32C9BCC9"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6A720FA4"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02BD43D1"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61198AE4"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08234D5C"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4950C405"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5FF342D3"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411D8E72"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47C33F95"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2E5FCCCD"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478BCED2"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264EB359"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1077B25E" w14:textId="77777777" w:rsidR="00551726" w:rsidRDefault="00551726" w:rsidP="00551726">
            <w:pPr>
              <w:cnfStyle w:val="000000100000" w:firstRow="0" w:lastRow="0" w:firstColumn="0" w:lastColumn="0" w:oddVBand="0" w:evenVBand="0" w:oddHBand="1" w:evenHBand="0" w:firstRowFirstColumn="0" w:firstRowLastColumn="0" w:lastRowFirstColumn="0" w:lastRowLastColumn="0"/>
              <w:rPr>
                <w:rFonts w:eastAsiaTheme="minorEastAsia"/>
                <w:sz w:val="14"/>
                <w:szCs w:val="14"/>
              </w:rPr>
            </w:pPr>
          </w:p>
          <w:p w14:paraId="0A4279F8"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4DAAA4A8"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6EFCAE2A"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4E93BAD7"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35FA6ED8"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038A8DF8" w14:textId="77777777" w:rsidR="00551726" w:rsidRDefault="00551726" w:rsidP="00551726">
            <w:pPr>
              <w:cnfStyle w:val="000000100000" w:firstRow="0" w:lastRow="0" w:firstColumn="0" w:lastColumn="0" w:oddVBand="0" w:evenVBand="0" w:oddHBand="1" w:evenHBand="0" w:firstRowFirstColumn="0" w:firstRowLastColumn="0" w:lastRowFirstColumn="0" w:lastRowLastColumn="0"/>
              <w:rPr>
                <w:rFonts w:eastAsiaTheme="minorEastAsia"/>
                <w:sz w:val="14"/>
                <w:szCs w:val="14"/>
              </w:rPr>
            </w:pPr>
          </w:p>
          <w:p w14:paraId="252C9087" w14:textId="77777777" w:rsidR="00551726" w:rsidRPr="00551726" w:rsidRDefault="00551726" w:rsidP="00551726">
            <w:pPr>
              <w:cnfStyle w:val="000000100000" w:firstRow="0" w:lastRow="0" w:firstColumn="0" w:lastColumn="0" w:oddVBand="0" w:evenVBand="0" w:oddHBand="1" w:evenHBand="0" w:firstRowFirstColumn="0" w:firstRowLastColumn="0" w:lastRowFirstColumn="0" w:lastRowLastColumn="0"/>
            </w:pPr>
          </w:p>
          <w:p w14:paraId="6219AA92" w14:textId="77777777" w:rsidR="00551726" w:rsidRDefault="00551726" w:rsidP="00551726">
            <w:pPr>
              <w:cnfStyle w:val="000000100000" w:firstRow="0" w:lastRow="0" w:firstColumn="0" w:lastColumn="0" w:oddVBand="0" w:evenVBand="0" w:oddHBand="1" w:evenHBand="0" w:firstRowFirstColumn="0" w:firstRowLastColumn="0" w:lastRowFirstColumn="0" w:lastRowLastColumn="0"/>
              <w:rPr>
                <w:rFonts w:eastAsiaTheme="minorEastAsia"/>
                <w:sz w:val="14"/>
                <w:szCs w:val="14"/>
              </w:rPr>
            </w:pPr>
            <w:bookmarkStart w:id="2" w:name="_GoBack"/>
            <w:bookmarkEnd w:id="2"/>
          </w:p>
          <w:p w14:paraId="6E4CC72F" w14:textId="77777777" w:rsidR="00551726" w:rsidRDefault="00551726" w:rsidP="00551726">
            <w:pPr>
              <w:cnfStyle w:val="000000100000" w:firstRow="0" w:lastRow="0" w:firstColumn="0" w:lastColumn="0" w:oddVBand="0" w:evenVBand="0" w:oddHBand="1" w:evenHBand="0" w:firstRowFirstColumn="0" w:firstRowLastColumn="0" w:lastRowFirstColumn="0" w:lastRowLastColumn="0"/>
              <w:rPr>
                <w:rFonts w:eastAsiaTheme="minorEastAsia"/>
                <w:sz w:val="14"/>
                <w:szCs w:val="14"/>
              </w:rPr>
            </w:pPr>
          </w:p>
          <w:p w14:paraId="4443581F" w14:textId="4954E0AA" w:rsidR="00551726" w:rsidRPr="00551726" w:rsidRDefault="00551726" w:rsidP="005A246E">
            <w:pPr>
              <w:tabs>
                <w:tab w:val="left" w:pos="429"/>
                <w:tab w:val="center" w:pos="1017"/>
              </w:tabs>
              <w:cnfStyle w:val="000000100000" w:firstRow="0" w:lastRow="0" w:firstColumn="0" w:lastColumn="0" w:oddVBand="0" w:evenVBand="0" w:oddHBand="1" w:evenHBand="0" w:firstRowFirstColumn="0" w:firstRowLastColumn="0" w:lastRowFirstColumn="0" w:lastRowLastColumn="0"/>
            </w:pPr>
            <w:r>
              <w:tab/>
            </w:r>
            <w:r w:rsidR="005A246E">
              <w:tab/>
            </w:r>
          </w:p>
        </w:tc>
        <w:tc>
          <w:tcPr>
            <w:tcW w:w="1754" w:type="pct"/>
          </w:tcPr>
          <w:p w14:paraId="552B60E7" w14:textId="39AADA7F" w:rsidR="00BF3A34" w:rsidRDefault="00BF3A34" w:rsidP="00BF3A3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turnaround time should be maximally 1 hour, preferably 15 minutes or less</w:t>
            </w:r>
          </w:p>
          <w:p w14:paraId="66C13305" w14:textId="2C5FC60B" w:rsidR="002934BA" w:rsidRPr="00EF4222" w:rsidRDefault="002934BA" w:rsidP="002934BA">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Decentralized testing is </w:t>
            </w:r>
            <w:r w:rsidR="00AC0FEF">
              <w:rPr>
                <w:sz w:val="14"/>
                <w:szCs w:val="14"/>
              </w:rPr>
              <w:t>the</w:t>
            </w:r>
            <w:r w:rsidRPr="00FC44EB">
              <w:rPr>
                <w:sz w:val="14"/>
                <w:szCs w:val="14"/>
              </w:rPr>
              <w:t xml:space="preserve"> preferred option</w:t>
            </w:r>
            <w:r w:rsidRPr="00FC44EB" w:rsidDel="009A4383">
              <w:rPr>
                <w:sz w:val="14"/>
                <w:szCs w:val="14"/>
              </w:rPr>
              <w:t xml:space="preserve"> </w:t>
            </w:r>
            <w:r w:rsidRPr="00FC44EB">
              <w:rPr>
                <w:sz w:val="14"/>
                <w:szCs w:val="14"/>
              </w:rPr>
              <w:t xml:space="preserve">for rapid turnaround, prevention of loss to follow-up and other reasons.  </w:t>
            </w:r>
          </w:p>
          <w:p w14:paraId="480EA636" w14:textId="77777777" w:rsidR="009E4F67" w:rsidRPr="00FC44EB" w:rsidRDefault="00BF3A34" w:rsidP="00BF3A3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potential use of a triage test in an epidemic setting is tied to the availability of an acceptable confirmation test.  Confirmatory testing solutions</w:t>
            </w:r>
            <w:r w:rsidR="00FB4091" w:rsidRPr="00FC44EB">
              <w:rPr>
                <w:sz w:val="14"/>
                <w:szCs w:val="14"/>
              </w:rPr>
              <w:t xml:space="preserve"> and </w:t>
            </w:r>
            <w:r w:rsidRPr="00FC44EB">
              <w:rPr>
                <w:sz w:val="14"/>
                <w:szCs w:val="14"/>
              </w:rPr>
              <w:t>algorithms appropriate for the intended use setting should be recommended.</w:t>
            </w:r>
          </w:p>
          <w:p w14:paraId="0A9ABA1A" w14:textId="6A8D1F36" w:rsidR="00BF3A34" w:rsidRPr="00FC44EB" w:rsidRDefault="009E4F67" w:rsidP="00BF3A3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Confirmation testing will not always be available at the site of triage testing. In this situation, it could </w:t>
            </w:r>
            <w:r w:rsidR="002F5F15">
              <w:rPr>
                <w:sz w:val="14"/>
                <w:szCs w:val="14"/>
              </w:rPr>
              <w:t xml:space="preserve">be </w:t>
            </w:r>
            <w:r w:rsidRPr="00FC44EB">
              <w:rPr>
                <w:sz w:val="14"/>
                <w:szCs w:val="14"/>
              </w:rPr>
              <w:t>necessary for the individual to be isolated near</w:t>
            </w:r>
            <w:r w:rsidR="00C5041E" w:rsidRPr="00FC44EB">
              <w:rPr>
                <w:sz w:val="14"/>
                <w:szCs w:val="14"/>
              </w:rPr>
              <w:t xml:space="preserve"> the</w:t>
            </w:r>
            <w:r w:rsidRPr="00FC44EB">
              <w:rPr>
                <w:sz w:val="14"/>
                <w:szCs w:val="14"/>
              </w:rPr>
              <w:t xml:space="preserve"> site of testing or at home until </w:t>
            </w:r>
            <w:r w:rsidR="002F5F15">
              <w:rPr>
                <w:sz w:val="14"/>
                <w:szCs w:val="14"/>
              </w:rPr>
              <w:t xml:space="preserve">send-out </w:t>
            </w:r>
            <w:r w:rsidRPr="00FC44EB">
              <w:rPr>
                <w:sz w:val="14"/>
                <w:szCs w:val="14"/>
              </w:rPr>
              <w:t xml:space="preserve">confirmation test results are obtained. </w:t>
            </w:r>
          </w:p>
          <w:p w14:paraId="6B8E3A38" w14:textId="1B4D96B1" w:rsidR="00A92E4B" w:rsidRPr="00FC44EB" w:rsidRDefault="00BC6797" w:rsidP="00BF3A3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The intended use settings can be roughly divided into two groups with different testing requirements. </w:t>
            </w:r>
          </w:p>
          <w:p w14:paraId="12BF67A1" w14:textId="3A1356A7" w:rsidR="00BC6797" w:rsidRPr="00FC44EB" w:rsidRDefault="00BC6797" w:rsidP="00BC6797">
            <w:pPr>
              <w:pStyle w:val="ListParagraph"/>
              <w:numPr>
                <w:ilvl w:val="1"/>
                <w:numId w:val="1"/>
              </w:numPr>
              <w:ind w:left="436" w:hanging="27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 </w:t>
            </w:r>
            <w:r w:rsidR="00342A32" w:rsidRPr="00FC44EB">
              <w:rPr>
                <w:sz w:val="14"/>
                <w:szCs w:val="14"/>
              </w:rPr>
              <w:t>G</w:t>
            </w:r>
            <w:r w:rsidRPr="00FC44EB">
              <w:rPr>
                <w:sz w:val="14"/>
                <w:szCs w:val="14"/>
              </w:rPr>
              <w:t>roup 1</w:t>
            </w:r>
            <w:r w:rsidR="000F63F3" w:rsidRPr="00FC44EB">
              <w:rPr>
                <w:sz w:val="14"/>
                <w:szCs w:val="14"/>
              </w:rPr>
              <w:t xml:space="preserve"> sites</w:t>
            </w:r>
            <w:r w:rsidRPr="00FC44EB">
              <w:rPr>
                <w:sz w:val="14"/>
                <w:szCs w:val="14"/>
              </w:rPr>
              <w:t>, individuals can likely be isolated and confirmation testing can be conducted remotely</w:t>
            </w:r>
            <w:r w:rsidR="00BF3A34" w:rsidRPr="00FC44EB">
              <w:rPr>
                <w:sz w:val="14"/>
                <w:szCs w:val="14"/>
              </w:rPr>
              <w:t xml:space="preserve"> (multi-day send out)</w:t>
            </w:r>
            <w:r w:rsidRPr="00FC44EB">
              <w:rPr>
                <w:sz w:val="14"/>
                <w:szCs w:val="14"/>
              </w:rPr>
              <w:t xml:space="preserve">; </w:t>
            </w:r>
          </w:p>
          <w:p w14:paraId="5683566F" w14:textId="6528BE9A" w:rsidR="00BC6797" w:rsidRPr="00FC44EB" w:rsidRDefault="00342A32" w:rsidP="00BC6797">
            <w:pPr>
              <w:pStyle w:val="ListParagraph"/>
              <w:numPr>
                <w:ilvl w:val="1"/>
                <w:numId w:val="1"/>
              </w:numPr>
              <w:ind w:left="436" w:hanging="27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w:t>
            </w:r>
            <w:r w:rsidR="00BC6797" w:rsidRPr="00FC44EB">
              <w:rPr>
                <w:sz w:val="14"/>
                <w:szCs w:val="14"/>
              </w:rPr>
              <w:t xml:space="preserve">n </w:t>
            </w:r>
            <w:r w:rsidRPr="00FC44EB">
              <w:rPr>
                <w:sz w:val="14"/>
                <w:szCs w:val="14"/>
              </w:rPr>
              <w:t>Group 2</w:t>
            </w:r>
            <w:r w:rsidR="00BC6797" w:rsidRPr="00FC44EB">
              <w:rPr>
                <w:sz w:val="14"/>
                <w:szCs w:val="14"/>
              </w:rPr>
              <w:t xml:space="preserve"> sites</w:t>
            </w:r>
            <w:r w:rsidR="000F63F3" w:rsidRPr="00FC44EB">
              <w:rPr>
                <w:sz w:val="14"/>
                <w:szCs w:val="14"/>
              </w:rPr>
              <w:t>,</w:t>
            </w:r>
            <w:r w:rsidR="00BC6797" w:rsidRPr="00FC44EB">
              <w:rPr>
                <w:sz w:val="14"/>
                <w:szCs w:val="14"/>
              </w:rPr>
              <w:t xml:space="preserve"> </w:t>
            </w:r>
            <w:r w:rsidRPr="00FC44EB">
              <w:rPr>
                <w:sz w:val="14"/>
                <w:szCs w:val="14"/>
              </w:rPr>
              <w:t xml:space="preserve">remote confirmation testing </w:t>
            </w:r>
            <w:r w:rsidR="00BC6797" w:rsidRPr="00FC44EB">
              <w:rPr>
                <w:sz w:val="14"/>
                <w:szCs w:val="14"/>
              </w:rPr>
              <w:t xml:space="preserve">is more problematic unless </w:t>
            </w:r>
            <w:r w:rsidR="00BF3A34" w:rsidRPr="00FC44EB">
              <w:rPr>
                <w:sz w:val="14"/>
                <w:szCs w:val="14"/>
              </w:rPr>
              <w:t xml:space="preserve">it </w:t>
            </w:r>
            <w:r w:rsidR="00BC6797" w:rsidRPr="00FC44EB">
              <w:rPr>
                <w:sz w:val="14"/>
                <w:szCs w:val="14"/>
              </w:rPr>
              <w:t>can be conducted on site and rapidly</w:t>
            </w:r>
            <w:r w:rsidR="00BF3A34" w:rsidRPr="00FC44EB">
              <w:rPr>
                <w:sz w:val="14"/>
                <w:szCs w:val="14"/>
              </w:rPr>
              <w:t>. With sen</w:t>
            </w:r>
            <w:r w:rsidR="00AC0FEF">
              <w:rPr>
                <w:sz w:val="14"/>
                <w:szCs w:val="14"/>
              </w:rPr>
              <w:t>d</w:t>
            </w:r>
            <w:r w:rsidR="00BF3A34" w:rsidRPr="00FC44EB">
              <w:rPr>
                <w:sz w:val="14"/>
                <w:szCs w:val="14"/>
              </w:rPr>
              <w:t xml:space="preserve"> out testing </w:t>
            </w:r>
            <w:r w:rsidR="00BC6797" w:rsidRPr="00FC44EB">
              <w:rPr>
                <w:sz w:val="14"/>
                <w:szCs w:val="14"/>
              </w:rPr>
              <w:t xml:space="preserve">it will not be possible to keep </w:t>
            </w:r>
            <w:r w:rsidR="002F5F15">
              <w:rPr>
                <w:sz w:val="14"/>
                <w:szCs w:val="14"/>
              </w:rPr>
              <w:t>subject</w:t>
            </w:r>
            <w:r w:rsidR="00BC6797" w:rsidRPr="00FC44EB">
              <w:rPr>
                <w:sz w:val="14"/>
                <w:szCs w:val="14"/>
              </w:rPr>
              <w:t xml:space="preserve">s on site long enough to isolate them to prevent potential transmissions. </w:t>
            </w:r>
          </w:p>
          <w:p w14:paraId="34982508" w14:textId="404EEDE6" w:rsidR="00BC6797" w:rsidRPr="00FC44EB" w:rsidRDefault="00BC6797"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A triage test that permits the majority of symptomatic </w:t>
            </w:r>
            <w:r w:rsidR="002F5F15">
              <w:rPr>
                <w:sz w:val="14"/>
                <w:szCs w:val="14"/>
              </w:rPr>
              <w:t>subjects</w:t>
            </w:r>
            <w:r w:rsidR="002F5F15" w:rsidRPr="00FC44EB">
              <w:rPr>
                <w:sz w:val="14"/>
                <w:szCs w:val="14"/>
              </w:rPr>
              <w:t xml:space="preserve"> </w:t>
            </w:r>
            <w:r w:rsidRPr="00FC44EB">
              <w:rPr>
                <w:sz w:val="14"/>
                <w:szCs w:val="14"/>
              </w:rPr>
              <w:t>to leave if they have a negative result (low probability of SARS CoV-2 infection; high sensitivity</w:t>
            </w:r>
            <w:r w:rsidR="00E03DDE" w:rsidRPr="00FC44EB">
              <w:rPr>
                <w:sz w:val="14"/>
                <w:szCs w:val="14"/>
              </w:rPr>
              <w:t>, high negative predictive value</w:t>
            </w:r>
            <w:r w:rsidRPr="00FC44EB">
              <w:rPr>
                <w:sz w:val="14"/>
                <w:szCs w:val="14"/>
              </w:rPr>
              <w:t xml:space="preserve">) would limit the need to isolate and test for confirmation of infection. </w:t>
            </w:r>
            <w:r w:rsidR="002F5F15">
              <w:rPr>
                <w:sz w:val="14"/>
                <w:szCs w:val="14"/>
              </w:rPr>
              <w:t xml:space="preserve">  </w:t>
            </w:r>
          </w:p>
          <w:p w14:paraId="545EDA39" w14:textId="0CC1127C" w:rsidR="00BC6797" w:rsidRPr="00FC44EB" w:rsidRDefault="00BC6797"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On the other hand, the test requires an acceptable specificity so that few people are unnecessarily </w:t>
            </w:r>
            <w:r w:rsidR="007C4C8C">
              <w:rPr>
                <w:sz w:val="14"/>
                <w:szCs w:val="14"/>
              </w:rPr>
              <w:t>isolated</w:t>
            </w:r>
            <w:r w:rsidR="00AC0FEF">
              <w:rPr>
                <w:sz w:val="14"/>
                <w:szCs w:val="14"/>
              </w:rPr>
              <w:t xml:space="preserve"> </w:t>
            </w:r>
            <w:r w:rsidR="002F5F15">
              <w:rPr>
                <w:sz w:val="14"/>
                <w:szCs w:val="14"/>
              </w:rPr>
              <w:t>and referred for confirmation testing</w:t>
            </w:r>
            <w:r w:rsidRPr="00FC44EB">
              <w:rPr>
                <w:sz w:val="14"/>
                <w:szCs w:val="14"/>
              </w:rPr>
              <w:t>. Even in an epidemic setting it is likely that most persons with symptoms do not have COVID-19.</w:t>
            </w:r>
            <w:r w:rsidR="002F5F15">
              <w:rPr>
                <w:sz w:val="14"/>
                <w:szCs w:val="14"/>
              </w:rPr>
              <w:t xml:space="preserve">  A high false positive rate, especially in populations with low </w:t>
            </w:r>
            <w:r w:rsidR="00AC0FEF">
              <w:rPr>
                <w:sz w:val="14"/>
                <w:szCs w:val="14"/>
              </w:rPr>
              <w:t>prevalence</w:t>
            </w:r>
            <w:r w:rsidR="002F5F15">
              <w:rPr>
                <w:sz w:val="14"/>
                <w:szCs w:val="14"/>
              </w:rPr>
              <w:t xml:space="preserve">, would waste a significant number of scarce, high-value RNA tests. </w:t>
            </w:r>
          </w:p>
          <w:p w14:paraId="3046AFF3" w14:textId="77777777" w:rsidR="00AC0FEF" w:rsidRDefault="00E41573"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 most of the intended use settings, a point of care </w:t>
            </w:r>
            <w:r w:rsidR="00BF3A34" w:rsidRPr="00FC44EB">
              <w:rPr>
                <w:sz w:val="14"/>
                <w:szCs w:val="14"/>
              </w:rPr>
              <w:t xml:space="preserve">(POC) </w:t>
            </w:r>
            <w:r w:rsidRPr="00FC44EB">
              <w:rPr>
                <w:sz w:val="14"/>
                <w:szCs w:val="14"/>
              </w:rPr>
              <w:t xml:space="preserve">format test is desirable, ideally one that is designed to meet CLIA-waiver requirements. </w:t>
            </w:r>
          </w:p>
          <w:p w14:paraId="2891B5A0" w14:textId="174E4200" w:rsidR="00E41573" w:rsidRPr="00FC44EB" w:rsidRDefault="00E41573"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While an instrument-free format has merit in many target use settings, the desire to capture and communicate information as well as features delivering improved test performance may favor automated solutions. </w:t>
            </w:r>
          </w:p>
          <w:p w14:paraId="3121A113" w14:textId="07980299" w:rsidR="00BA2E5B" w:rsidRPr="00FC44EB" w:rsidRDefault="00BA2E5B"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Tests designed for decentralized </w:t>
            </w:r>
            <w:r w:rsidR="00BF3A34" w:rsidRPr="00FC44EB">
              <w:rPr>
                <w:sz w:val="14"/>
                <w:szCs w:val="14"/>
              </w:rPr>
              <w:t xml:space="preserve">POC </w:t>
            </w:r>
            <w:r w:rsidRPr="00FC44EB">
              <w:rPr>
                <w:sz w:val="14"/>
                <w:szCs w:val="14"/>
              </w:rPr>
              <w:t>testing should take into account the requirements across the wide variety of potential testing locations, environments, operators and regulatory requirements</w:t>
            </w:r>
            <w:r w:rsidR="000909CC" w:rsidRPr="00FC44EB">
              <w:rPr>
                <w:sz w:val="14"/>
                <w:szCs w:val="14"/>
              </w:rPr>
              <w:t>.</w:t>
            </w:r>
          </w:p>
          <w:p w14:paraId="73852209" w14:textId="5FCAE9C9" w:rsidR="00894DAE" w:rsidRPr="00FC44EB" w:rsidRDefault="00E41573" w:rsidP="00894DAE">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It is likely that medical practitioners and technical staff in the target use settings will be wearing some form of personal protective equipment (PPE</w:t>
            </w:r>
            <w:r w:rsidR="00894DAE" w:rsidRPr="00FC44EB">
              <w:rPr>
                <w:sz w:val="14"/>
                <w:szCs w:val="14"/>
              </w:rPr>
              <w:t>),</w:t>
            </w:r>
            <w:r w:rsidRPr="00FC44EB">
              <w:rPr>
                <w:sz w:val="14"/>
                <w:szCs w:val="14"/>
              </w:rPr>
              <w:t xml:space="preserve">  </w:t>
            </w:r>
            <w:r w:rsidR="00894DAE" w:rsidRPr="00FC44EB">
              <w:rPr>
                <w:sz w:val="14"/>
                <w:szCs w:val="14"/>
              </w:rPr>
              <w:t xml:space="preserve">which has implications for the type of sample that can be obtained (e.g., finger prick blood or nasal swabs while wearing gloves), how it can be processed (e.g., micro-capillary manipulation observation while wearing a mask) and the operator interfaces on the devices used (e.g., </w:t>
            </w:r>
            <w:r w:rsidR="00D022A9" w:rsidRPr="00FC44EB">
              <w:rPr>
                <w:sz w:val="14"/>
                <w:szCs w:val="14"/>
              </w:rPr>
              <w:t xml:space="preserve">sample addition and </w:t>
            </w:r>
            <w:r w:rsidR="00894DAE" w:rsidRPr="00FC44EB">
              <w:rPr>
                <w:sz w:val="14"/>
                <w:szCs w:val="14"/>
              </w:rPr>
              <w:t>touch screen while wearing gloves).</w:t>
            </w:r>
          </w:p>
          <w:p w14:paraId="3DFC95BB" w14:textId="4CAD03E2" w:rsidR="00BF3A34" w:rsidRPr="00EF4222" w:rsidRDefault="00F332FF" w:rsidP="000446B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Pressure to reduce pricing is increasing.  </w:t>
            </w:r>
            <w:r w:rsidR="00CE6B0F" w:rsidRPr="00FC44EB">
              <w:rPr>
                <w:sz w:val="14"/>
                <w:szCs w:val="14"/>
              </w:rPr>
              <w:t>Price</w:t>
            </w:r>
            <w:r w:rsidR="00E41573" w:rsidRPr="00FC44EB">
              <w:rPr>
                <w:sz w:val="14"/>
                <w:szCs w:val="14"/>
              </w:rPr>
              <w:t xml:space="preserve"> targets</w:t>
            </w:r>
            <w:r w:rsidR="00AF7AFC" w:rsidRPr="00FC44EB">
              <w:rPr>
                <w:sz w:val="14"/>
                <w:szCs w:val="14"/>
              </w:rPr>
              <w:t>*</w:t>
            </w:r>
            <w:r w:rsidR="00C43DCA" w:rsidRPr="00FC44EB">
              <w:rPr>
                <w:sz w:val="14"/>
                <w:szCs w:val="14"/>
              </w:rPr>
              <w:t xml:space="preserve"> (to the end user)</w:t>
            </w:r>
            <w:r w:rsidR="00E41573" w:rsidRPr="00FC44EB">
              <w:rPr>
                <w:sz w:val="14"/>
                <w:szCs w:val="14"/>
              </w:rPr>
              <w:t xml:space="preserve"> are likely to be </w:t>
            </w:r>
            <w:r>
              <w:rPr>
                <w:sz w:val="14"/>
                <w:szCs w:val="14"/>
              </w:rPr>
              <w:t>well under</w:t>
            </w:r>
            <w:r w:rsidR="00E41573" w:rsidRPr="00FC44EB">
              <w:rPr>
                <w:sz w:val="14"/>
                <w:szCs w:val="14"/>
              </w:rPr>
              <w:t>$</w:t>
            </w:r>
            <w:r w:rsidR="00E2554E" w:rsidRPr="00FC44EB">
              <w:rPr>
                <w:sz w:val="14"/>
                <w:szCs w:val="14"/>
              </w:rPr>
              <w:t>25 USD</w:t>
            </w:r>
            <w:r w:rsidR="00E41573" w:rsidRPr="00FC44EB">
              <w:rPr>
                <w:sz w:val="14"/>
                <w:szCs w:val="14"/>
              </w:rPr>
              <w:t xml:space="preserve"> for the US, but considerably less in low and middle-income countries (LMICs)</w:t>
            </w:r>
            <w:r w:rsidR="00C43DCA" w:rsidRPr="00FC44EB">
              <w:rPr>
                <w:sz w:val="14"/>
                <w:szCs w:val="14"/>
              </w:rPr>
              <w:t xml:space="preserve">. </w:t>
            </w:r>
            <w:r w:rsidR="007F2A0C" w:rsidRPr="00EF4222">
              <w:rPr>
                <w:sz w:val="14"/>
                <w:szCs w:val="14"/>
              </w:rPr>
              <w:t xml:space="preserve"> </w:t>
            </w:r>
          </w:p>
          <w:p w14:paraId="73EC3EC5" w14:textId="684626C6" w:rsidR="00E41573" w:rsidRPr="00FC44EB" w:rsidRDefault="00BA2E5B" w:rsidP="00BC679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Frequently</w:t>
            </w:r>
            <w:r w:rsidR="00BF3A34" w:rsidRPr="00FC44EB">
              <w:rPr>
                <w:sz w:val="14"/>
                <w:szCs w:val="14"/>
              </w:rPr>
              <w:t xml:space="preserve"> in high income countries (HIC)</w:t>
            </w:r>
            <w:r w:rsidRPr="00FC44EB">
              <w:rPr>
                <w:sz w:val="14"/>
                <w:szCs w:val="14"/>
              </w:rPr>
              <w:t xml:space="preserve">, established reimbursement is </w:t>
            </w:r>
            <w:r w:rsidR="00056B68" w:rsidRPr="00FC44EB">
              <w:rPr>
                <w:sz w:val="14"/>
                <w:szCs w:val="14"/>
              </w:rPr>
              <w:t>dependent on the type of assay technology used.</w:t>
            </w:r>
          </w:p>
          <w:p w14:paraId="6698680A" w14:textId="55E6A229" w:rsidR="00BC6797" w:rsidRPr="00FC44EB" w:rsidRDefault="00BC6797" w:rsidP="00BC6797">
            <w:pPr>
              <w:pStyle w:val="ListParagraph"/>
              <w:ind w:left="436"/>
              <w:cnfStyle w:val="000000100000" w:firstRow="0" w:lastRow="0" w:firstColumn="0" w:lastColumn="0" w:oddVBand="0" w:evenVBand="0" w:oddHBand="1" w:evenHBand="0" w:firstRowFirstColumn="0" w:firstRowLastColumn="0" w:lastRowFirstColumn="0" w:lastRowLastColumn="0"/>
              <w:rPr>
                <w:sz w:val="14"/>
                <w:szCs w:val="14"/>
              </w:rPr>
            </w:pPr>
          </w:p>
        </w:tc>
      </w:tr>
      <w:tr w:rsidR="003D70C4" w:rsidRPr="00AD4071" w14:paraId="472A7FCC" w14:textId="77777777" w:rsidTr="003D70C4">
        <w:trPr>
          <w:cantSplit/>
        </w:trPr>
        <w:tc>
          <w:tcPr>
            <w:cnfStyle w:val="001000000000" w:firstRow="0" w:lastRow="0" w:firstColumn="1" w:lastColumn="0" w:oddVBand="0" w:evenVBand="0" w:oddHBand="0" w:evenHBand="0" w:firstRowFirstColumn="0" w:firstRowLastColumn="0" w:lastRowFirstColumn="0" w:lastRowLastColumn="0"/>
            <w:tcW w:w="485" w:type="pct"/>
          </w:tcPr>
          <w:p w14:paraId="63E33E1E" w14:textId="77F7EA79" w:rsidR="00A92E4B" w:rsidRPr="00FC44EB" w:rsidRDefault="00BA1B7B" w:rsidP="00940A44">
            <w:pPr>
              <w:pStyle w:val="ListParagraph"/>
              <w:numPr>
                <w:ilvl w:val="0"/>
                <w:numId w:val="7"/>
              </w:numPr>
              <w:ind w:left="155" w:hanging="155"/>
              <w:rPr>
                <w:sz w:val="14"/>
                <w:szCs w:val="14"/>
              </w:rPr>
            </w:pPr>
            <w:bookmarkStart w:id="3" w:name="_Hlk34911962"/>
            <w:r w:rsidRPr="00FC44EB">
              <w:rPr>
                <w:sz w:val="14"/>
                <w:szCs w:val="14"/>
              </w:rPr>
              <w:lastRenderedPageBreak/>
              <w:t>Tria</w:t>
            </w:r>
            <w:r w:rsidR="009F3B40">
              <w:rPr>
                <w:sz w:val="14"/>
                <w:szCs w:val="14"/>
              </w:rPr>
              <w:t>ge</w:t>
            </w:r>
            <w:r w:rsidRPr="00FC44EB">
              <w:rPr>
                <w:sz w:val="14"/>
                <w:szCs w:val="14"/>
              </w:rPr>
              <w:t xml:space="preserve"> of symptomatic individuals in endemic settings</w:t>
            </w:r>
            <w:bookmarkEnd w:id="3"/>
          </w:p>
        </w:tc>
        <w:tc>
          <w:tcPr>
            <w:tcW w:w="974" w:type="pct"/>
          </w:tcPr>
          <w:p w14:paraId="582115DA" w14:textId="4528B5E6" w:rsidR="00B75222" w:rsidRPr="00FC44EB" w:rsidRDefault="00B75222" w:rsidP="00B75222">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The intended use is to determine if a symptomatic individual in an endemic setting has a reasonable likelihood of a current </w:t>
            </w:r>
            <w:r w:rsidR="007D55EB">
              <w:rPr>
                <w:sz w:val="14"/>
                <w:szCs w:val="14"/>
              </w:rPr>
              <w:t>SARS-CoV-2 virus</w:t>
            </w:r>
            <w:r w:rsidRPr="00FC44EB">
              <w:rPr>
                <w:sz w:val="14"/>
                <w:szCs w:val="14"/>
              </w:rPr>
              <w:t xml:space="preserve"> </w:t>
            </w:r>
            <w:r w:rsidR="00E47262" w:rsidRPr="00FC44EB">
              <w:rPr>
                <w:sz w:val="14"/>
                <w:szCs w:val="14"/>
              </w:rPr>
              <w:t xml:space="preserve">infection </w:t>
            </w:r>
            <w:r w:rsidRPr="00FC44EB">
              <w:rPr>
                <w:sz w:val="14"/>
                <w:szCs w:val="14"/>
              </w:rPr>
              <w:t>warranting temporary isolation pending confirmatory testing</w:t>
            </w:r>
          </w:p>
          <w:p w14:paraId="28BD71AC" w14:textId="128CDABE" w:rsidR="00B75222" w:rsidRDefault="00B75222" w:rsidP="00B75222">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Intended use settings include both Groups 1 and 2 from </w:t>
            </w:r>
            <w:r w:rsidR="00BA2E5B" w:rsidRPr="00FC44EB">
              <w:rPr>
                <w:sz w:val="14"/>
                <w:szCs w:val="14"/>
              </w:rPr>
              <w:t>U</w:t>
            </w:r>
            <w:r w:rsidRPr="00FC44EB">
              <w:rPr>
                <w:sz w:val="14"/>
                <w:szCs w:val="14"/>
              </w:rPr>
              <w:t xml:space="preserve">se </w:t>
            </w:r>
            <w:r w:rsidR="00BA2E5B" w:rsidRPr="00FC44EB">
              <w:rPr>
                <w:sz w:val="14"/>
                <w:szCs w:val="14"/>
              </w:rPr>
              <w:t>C</w:t>
            </w:r>
            <w:r w:rsidRPr="00FC44EB">
              <w:rPr>
                <w:sz w:val="14"/>
                <w:szCs w:val="14"/>
              </w:rPr>
              <w:t>ase 1, as well as all other sites where individuals could present seeking primary care</w:t>
            </w:r>
          </w:p>
          <w:p w14:paraId="40B0641F" w14:textId="092D9ECA" w:rsidR="00DC7774" w:rsidRPr="00FC44EB" w:rsidRDefault="00DC7774" w:rsidP="00B75222">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Confirmation testing is </w:t>
            </w:r>
            <w:r w:rsidR="009F3B40">
              <w:rPr>
                <w:sz w:val="14"/>
                <w:szCs w:val="14"/>
              </w:rPr>
              <w:t xml:space="preserve">required and </w:t>
            </w:r>
            <w:r>
              <w:rPr>
                <w:sz w:val="14"/>
                <w:szCs w:val="14"/>
              </w:rPr>
              <w:t>described in Use Case 4</w:t>
            </w:r>
          </w:p>
          <w:p w14:paraId="1FD2E2C9" w14:textId="4853F66A" w:rsidR="00A92E4B" w:rsidRPr="00FC44EB" w:rsidRDefault="00A92E4B" w:rsidP="00883B05">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974" w:type="pct"/>
          </w:tcPr>
          <w:p w14:paraId="78530358" w14:textId="1CA8E4EE" w:rsidR="00A92E4B" w:rsidRPr="00FC44EB" w:rsidRDefault="00B75222" w:rsidP="007B32AE">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Same as above</w:t>
            </w:r>
          </w:p>
        </w:tc>
        <w:tc>
          <w:tcPr>
            <w:tcW w:w="812" w:type="pct"/>
          </w:tcPr>
          <w:p w14:paraId="23B44E5E" w14:textId="6FE708B2" w:rsidR="00A92E4B" w:rsidRPr="00FC44EB" w:rsidRDefault="001C28E0" w:rsidP="00EF4222">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Same as above</w:t>
            </w:r>
          </w:p>
        </w:tc>
        <w:tc>
          <w:tcPr>
            <w:tcW w:w="1754" w:type="pct"/>
          </w:tcPr>
          <w:p w14:paraId="37D51887" w14:textId="2E4DA6BC" w:rsidR="00B75222" w:rsidRDefault="00B75222"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This scenario assumes the </w:t>
            </w:r>
            <w:r w:rsidR="00010E3A">
              <w:rPr>
                <w:sz w:val="14"/>
                <w:szCs w:val="14"/>
              </w:rPr>
              <w:t xml:space="preserve">SARS-CoV-2 </w:t>
            </w:r>
            <w:r w:rsidRPr="00FC44EB">
              <w:rPr>
                <w:sz w:val="14"/>
                <w:szCs w:val="14"/>
              </w:rPr>
              <w:t xml:space="preserve">virus will remain a recurring threat, requiring ongoing potential </w:t>
            </w:r>
            <w:r w:rsidR="00BF3A34" w:rsidRPr="00FC44EB">
              <w:rPr>
                <w:sz w:val="14"/>
                <w:szCs w:val="14"/>
              </w:rPr>
              <w:t>testing of</w:t>
            </w:r>
            <w:r w:rsidRPr="00FC44EB">
              <w:rPr>
                <w:sz w:val="14"/>
                <w:szCs w:val="14"/>
              </w:rPr>
              <w:t xml:space="preserve"> individuals presenting with respiratory symptoms.</w:t>
            </w:r>
            <w:r w:rsidR="005D7FDE" w:rsidRPr="00FC44EB">
              <w:rPr>
                <w:sz w:val="14"/>
                <w:szCs w:val="14"/>
              </w:rPr>
              <w:t xml:space="preserve"> </w:t>
            </w:r>
            <w:r w:rsidR="00F93AE6" w:rsidRPr="00FC44EB">
              <w:rPr>
                <w:sz w:val="14"/>
                <w:szCs w:val="14"/>
              </w:rPr>
              <w:t>Note: t</w:t>
            </w:r>
            <w:r w:rsidR="005D7FDE" w:rsidRPr="00FC44EB">
              <w:rPr>
                <w:sz w:val="14"/>
                <w:szCs w:val="14"/>
              </w:rPr>
              <w:t xml:space="preserve">his comment is pertinent to all the remaining </w:t>
            </w:r>
            <w:r w:rsidR="00BF3A34" w:rsidRPr="00FC44EB">
              <w:rPr>
                <w:sz w:val="14"/>
                <w:szCs w:val="14"/>
              </w:rPr>
              <w:t>U</w:t>
            </w:r>
            <w:r w:rsidR="005D7FDE" w:rsidRPr="00FC44EB">
              <w:rPr>
                <w:sz w:val="14"/>
                <w:szCs w:val="14"/>
              </w:rPr>
              <w:t xml:space="preserve">se </w:t>
            </w:r>
            <w:r w:rsidR="00BF3A34" w:rsidRPr="00FC44EB">
              <w:rPr>
                <w:sz w:val="14"/>
                <w:szCs w:val="14"/>
              </w:rPr>
              <w:t>C</w:t>
            </w:r>
            <w:r w:rsidR="005D7FDE" w:rsidRPr="00FC44EB">
              <w:rPr>
                <w:sz w:val="14"/>
                <w:szCs w:val="14"/>
              </w:rPr>
              <w:t>ases</w:t>
            </w:r>
          </w:p>
          <w:p w14:paraId="79B3C361" w14:textId="3A9FF0DE" w:rsidR="002934BA" w:rsidRPr="00EF4222" w:rsidRDefault="002934BA" w:rsidP="002934BA">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Decentralized testing is a preferred option</w:t>
            </w:r>
            <w:r w:rsidRPr="00FC44EB" w:rsidDel="009A4383">
              <w:rPr>
                <w:sz w:val="14"/>
                <w:szCs w:val="14"/>
              </w:rPr>
              <w:t xml:space="preserve"> </w:t>
            </w:r>
            <w:r w:rsidRPr="00FC44EB">
              <w:rPr>
                <w:sz w:val="14"/>
                <w:szCs w:val="14"/>
              </w:rPr>
              <w:t xml:space="preserve">for rapid turnaround, prevention of loss to follow-up and other reasons.  </w:t>
            </w:r>
          </w:p>
          <w:p w14:paraId="612C9071" w14:textId="02CE8B60" w:rsidR="00D953E4" w:rsidRPr="00FC44EB" w:rsidRDefault="00D953E4"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disappearance</w:t>
            </w:r>
            <w:r w:rsidR="00010E3A">
              <w:rPr>
                <w:sz w:val="14"/>
                <w:szCs w:val="14"/>
              </w:rPr>
              <w:t xml:space="preserve"> and reappearance</w:t>
            </w:r>
            <w:r w:rsidRPr="00FC44EB">
              <w:rPr>
                <w:sz w:val="14"/>
                <w:szCs w:val="14"/>
              </w:rPr>
              <w:t xml:space="preserve"> of SARS-CoV-2 from the local population could be due to </w:t>
            </w:r>
            <w:r w:rsidR="00010E3A">
              <w:rPr>
                <w:sz w:val="14"/>
                <w:szCs w:val="14"/>
              </w:rPr>
              <w:t>a</w:t>
            </w:r>
            <w:r w:rsidRPr="00FC44EB">
              <w:rPr>
                <w:sz w:val="14"/>
                <w:szCs w:val="14"/>
              </w:rPr>
              <w:t xml:space="preserve"> seasonal nature of the disease or effective elimination followed by reintroduction</w:t>
            </w:r>
            <w:r w:rsidR="00010E3A">
              <w:rPr>
                <w:sz w:val="14"/>
                <w:szCs w:val="14"/>
              </w:rPr>
              <w:t xml:space="preserve"> from</w:t>
            </w:r>
            <w:r w:rsidR="00E47262">
              <w:rPr>
                <w:sz w:val="14"/>
                <w:szCs w:val="14"/>
              </w:rPr>
              <w:t xml:space="preserve"> infected</w:t>
            </w:r>
            <w:r w:rsidR="00010E3A">
              <w:rPr>
                <w:sz w:val="14"/>
                <w:szCs w:val="14"/>
              </w:rPr>
              <w:t xml:space="preserve"> individuals coming from other </w:t>
            </w:r>
            <w:r w:rsidR="00BB5192">
              <w:rPr>
                <w:sz w:val="14"/>
                <w:szCs w:val="14"/>
              </w:rPr>
              <w:t>settings</w:t>
            </w:r>
            <w:r w:rsidR="007A30CF">
              <w:rPr>
                <w:sz w:val="14"/>
                <w:szCs w:val="14"/>
              </w:rPr>
              <w:t xml:space="preserve"> of current infections </w:t>
            </w:r>
          </w:p>
          <w:p w14:paraId="39B7A8C2" w14:textId="6ED83E41" w:rsidR="00B75222" w:rsidRPr="00FC44EB" w:rsidRDefault="00B75222"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Most individuals presenting with symptoms under this scenario are less likely to be infected with </w:t>
            </w:r>
            <w:r w:rsidR="005D7FDE" w:rsidRPr="00FC44EB">
              <w:rPr>
                <w:sz w:val="14"/>
                <w:szCs w:val="14"/>
              </w:rPr>
              <w:t>SARS-CoV-2</w:t>
            </w:r>
            <w:r w:rsidRPr="00FC44EB">
              <w:rPr>
                <w:sz w:val="14"/>
                <w:szCs w:val="14"/>
              </w:rPr>
              <w:t xml:space="preserve"> than in the epidemic setting scenario.  Common cold, flu</w:t>
            </w:r>
            <w:r w:rsidR="00D953E4" w:rsidRPr="00FC44EB">
              <w:rPr>
                <w:sz w:val="14"/>
                <w:szCs w:val="14"/>
              </w:rPr>
              <w:t xml:space="preserve">, </w:t>
            </w:r>
            <w:r w:rsidRPr="00FC44EB">
              <w:rPr>
                <w:sz w:val="14"/>
                <w:szCs w:val="14"/>
              </w:rPr>
              <w:t>seasonal allergies</w:t>
            </w:r>
            <w:r w:rsidR="00D953E4" w:rsidRPr="00FC44EB">
              <w:rPr>
                <w:sz w:val="14"/>
                <w:szCs w:val="14"/>
              </w:rPr>
              <w:t xml:space="preserve"> or febrile diseases with similar clinical presentations</w:t>
            </w:r>
            <w:r w:rsidRPr="00FC44EB">
              <w:rPr>
                <w:sz w:val="14"/>
                <w:szCs w:val="14"/>
              </w:rPr>
              <w:t xml:space="preserve"> will be more common, </w:t>
            </w:r>
            <w:r w:rsidR="00D953E4" w:rsidRPr="00FC44EB">
              <w:rPr>
                <w:sz w:val="14"/>
                <w:szCs w:val="14"/>
              </w:rPr>
              <w:t>creating</w:t>
            </w:r>
            <w:r w:rsidRPr="00FC44EB">
              <w:rPr>
                <w:sz w:val="14"/>
                <w:szCs w:val="14"/>
              </w:rPr>
              <w:t xml:space="preserve"> the potential need for</w:t>
            </w:r>
            <w:r w:rsidR="00D953E4" w:rsidRPr="00FC44EB">
              <w:rPr>
                <w:sz w:val="14"/>
                <w:szCs w:val="14"/>
              </w:rPr>
              <w:t xml:space="preserve"> </w:t>
            </w:r>
            <w:r w:rsidR="002934BA">
              <w:rPr>
                <w:sz w:val="14"/>
                <w:szCs w:val="14"/>
              </w:rPr>
              <w:t xml:space="preserve">diagnostic </w:t>
            </w:r>
            <w:r w:rsidR="00D953E4" w:rsidRPr="00FC44EB">
              <w:rPr>
                <w:sz w:val="14"/>
                <w:szCs w:val="14"/>
              </w:rPr>
              <w:t>confirmatory testing</w:t>
            </w:r>
            <w:r w:rsidR="00610382" w:rsidRPr="00FC44EB">
              <w:rPr>
                <w:sz w:val="14"/>
                <w:szCs w:val="14"/>
              </w:rPr>
              <w:t xml:space="preserve"> </w:t>
            </w:r>
            <w:r w:rsidR="00D953E4" w:rsidRPr="00FC44EB">
              <w:rPr>
                <w:sz w:val="14"/>
                <w:szCs w:val="14"/>
              </w:rPr>
              <w:t>and</w:t>
            </w:r>
            <w:r w:rsidR="00610382" w:rsidRPr="00FC44EB">
              <w:rPr>
                <w:sz w:val="14"/>
                <w:szCs w:val="14"/>
              </w:rPr>
              <w:t>/or</w:t>
            </w:r>
            <w:r w:rsidR="00D953E4" w:rsidRPr="00FC44EB">
              <w:rPr>
                <w:sz w:val="14"/>
                <w:szCs w:val="14"/>
              </w:rPr>
              <w:t xml:space="preserve"> </w:t>
            </w:r>
            <w:r w:rsidRPr="00FC44EB">
              <w:rPr>
                <w:sz w:val="14"/>
                <w:szCs w:val="14"/>
              </w:rPr>
              <w:t>differential diagnostics.</w:t>
            </w:r>
          </w:p>
          <w:p w14:paraId="4C39D489" w14:textId="1F8A3087" w:rsidR="00D953E4" w:rsidRPr="00FC44EB" w:rsidRDefault="00D953E4" w:rsidP="00D953E4">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turnaround time should be maximally 1 hour, preferably 15 minutes or less</w:t>
            </w:r>
          </w:p>
          <w:p w14:paraId="7C524C5D" w14:textId="77264EC3" w:rsidR="00B75222" w:rsidRPr="00FC44EB" w:rsidRDefault="00B75222"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The need for high sensitivity remains, but in this </w:t>
            </w:r>
            <w:r w:rsidR="000A42BF" w:rsidRPr="00FC44EB">
              <w:rPr>
                <w:sz w:val="14"/>
                <w:szCs w:val="14"/>
              </w:rPr>
              <w:t>scenario,</w:t>
            </w:r>
            <w:r w:rsidRPr="00FC44EB">
              <w:rPr>
                <w:sz w:val="14"/>
                <w:szCs w:val="14"/>
              </w:rPr>
              <w:t xml:space="preserve"> there is also the need for higher specificity since in a low prevalence environment the majority of individuals could be false positives.</w:t>
            </w:r>
            <w:r w:rsidR="00010E3A">
              <w:rPr>
                <w:sz w:val="14"/>
                <w:szCs w:val="14"/>
              </w:rPr>
              <w:t xml:space="preserve">  A high percentage of false positives, especially relative to the </w:t>
            </w:r>
            <w:r w:rsidR="002934BA">
              <w:rPr>
                <w:sz w:val="14"/>
                <w:szCs w:val="14"/>
              </w:rPr>
              <w:t>prevalence</w:t>
            </w:r>
            <w:r w:rsidR="00010E3A">
              <w:rPr>
                <w:sz w:val="14"/>
                <w:szCs w:val="14"/>
              </w:rPr>
              <w:t xml:space="preserve"> in the region, would mean many more confirmatory and/or differential diagnostic tests are performed than are required. </w:t>
            </w:r>
          </w:p>
          <w:p w14:paraId="36B4412F" w14:textId="78B9F8FC" w:rsidR="000A42BF" w:rsidRPr="00FC44EB" w:rsidRDefault="000A42BF"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In these use settings, isolation will become a major annoyance and </w:t>
            </w:r>
            <w:r w:rsidR="00FB4091" w:rsidRPr="00FC44EB">
              <w:rPr>
                <w:sz w:val="14"/>
                <w:szCs w:val="14"/>
              </w:rPr>
              <w:t xml:space="preserve">a </w:t>
            </w:r>
            <w:r w:rsidRPr="00FC44EB">
              <w:rPr>
                <w:sz w:val="14"/>
                <w:szCs w:val="14"/>
              </w:rPr>
              <w:t xml:space="preserve">likely impediment to testing.  Therefore, is it important that confirmation testing be </w:t>
            </w:r>
            <w:r w:rsidR="00D953E4" w:rsidRPr="00FC44EB">
              <w:rPr>
                <w:sz w:val="14"/>
                <w:szCs w:val="14"/>
              </w:rPr>
              <w:t>rapid</w:t>
            </w:r>
            <w:r w:rsidRPr="00FC44EB">
              <w:rPr>
                <w:sz w:val="14"/>
                <w:szCs w:val="14"/>
              </w:rPr>
              <w:t xml:space="preserve">, preferably offered </w:t>
            </w:r>
            <w:r w:rsidR="00FB4091" w:rsidRPr="00FC44EB">
              <w:rPr>
                <w:sz w:val="14"/>
                <w:szCs w:val="14"/>
              </w:rPr>
              <w:t>at</w:t>
            </w:r>
            <w:r w:rsidRPr="00FC44EB">
              <w:rPr>
                <w:sz w:val="14"/>
                <w:szCs w:val="14"/>
              </w:rPr>
              <w:t xml:space="preserve"> </w:t>
            </w:r>
            <w:r w:rsidR="00D953E4" w:rsidRPr="00FC44EB">
              <w:rPr>
                <w:sz w:val="14"/>
                <w:szCs w:val="14"/>
              </w:rPr>
              <w:t xml:space="preserve">the </w:t>
            </w:r>
            <w:r w:rsidRPr="00FC44EB">
              <w:rPr>
                <w:sz w:val="14"/>
                <w:szCs w:val="14"/>
              </w:rPr>
              <w:t>site</w:t>
            </w:r>
            <w:r w:rsidR="00D953E4" w:rsidRPr="00FC44EB">
              <w:rPr>
                <w:sz w:val="14"/>
                <w:szCs w:val="14"/>
              </w:rPr>
              <w:t xml:space="preserve"> of triage testing</w:t>
            </w:r>
            <w:r w:rsidRPr="00FC44EB">
              <w:rPr>
                <w:sz w:val="14"/>
                <w:szCs w:val="14"/>
              </w:rPr>
              <w:t>.</w:t>
            </w:r>
          </w:p>
          <w:p w14:paraId="5A3AE58C" w14:textId="247ADADB" w:rsidR="000A42BF" w:rsidRPr="00FC44EB" w:rsidRDefault="00F332FF"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Due to performance limitations, i</w:t>
            </w:r>
            <w:r w:rsidR="000A42BF" w:rsidRPr="00FC44EB">
              <w:rPr>
                <w:sz w:val="14"/>
                <w:szCs w:val="14"/>
              </w:rPr>
              <w:t xml:space="preserve">t is possible that triage testing will not be ideal in some endemic settings where diagnostic tests </w:t>
            </w:r>
            <w:r w:rsidR="001B5F9A" w:rsidRPr="00FC44EB">
              <w:rPr>
                <w:sz w:val="14"/>
                <w:szCs w:val="14"/>
              </w:rPr>
              <w:t xml:space="preserve">(Use Case 5) </w:t>
            </w:r>
            <w:r w:rsidR="000A42BF" w:rsidRPr="00FC44EB">
              <w:rPr>
                <w:sz w:val="14"/>
                <w:szCs w:val="14"/>
              </w:rPr>
              <w:t>would offer a more appropriate testing solution.</w:t>
            </w:r>
          </w:p>
          <w:p w14:paraId="2855A57D" w14:textId="5D88503F" w:rsidR="00883B05" w:rsidRDefault="00883B05" w:rsidP="00883B0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For broadest utility, it is preferable that the test be CLIA</w:t>
            </w:r>
            <w:r w:rsidR="00273A99" w:rsidRPr="00FC44EB">
              <w:rPr>
                <w:sz w:val="14"/>
                <w:szCs w:val="14"/>
              </w:rPr>
              <w:t>-</w:t>
            </w:r>
            <w:r w:rsidRPr="00FC44EB">
              <w:rPr>
                <w:sz w:val="14"/>
                <w:szCs w:val="14"/>
              </w:rPr>
              <w:t>waivable for use by minimally trained users in decentralized testing settings</w:t>
            </w:r>
            <w:r w:rsidR="00273A99" w:rsidRPr="00FC44EB">
              <w:rPr>
                <w:sz w:val="14"/>
                <w:szCs w:val="14"/>
              </w:rPr>
              <w:t>.</w:t>
            </w:r>
          </w:p>
          <w:p w14:paraId="517B5EC5" w14:textId="22B8020A" w:rsidR="007A30CF" w:rsidRPr="007A30CF" w:rsidRDefault="007A30CF" w:rsidP="007A30CF">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See additional comments in Use Case 1.</w:t>
            </w:r>
          </w:p>
          <w:p w14:paraId="591583C9" w14:textId="333CA5B4" w:rsidR="00B75222" w:rsidRPr="00FC44EB" w:rsidRDefault="0032681C"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Price</w:t>
            </w:r>
            <w:r w:rsidR="00B75222" w:rsidRPr="00FC44EB">
              <w:rPr>
                <w:sz w:val="14"/>
                <w:szCs w:val="14"/>
              </w:rPr>
              <w:t xml:space="preserve"> targets</w:t>
            </w:r>
            <w:r w:rsidR="00010E3A">
              <w:rPr>
                <w:sz w:val="14"/>
                <w:szCs w:val="14"/>
              </w:rPr>
              <w:t>*</w:t>
            </w:r>
            <w:r w:rsidR="00B75222" w:rsidRPr="00FC44EB">
              <w:rPr>
                <w:sz w:val="14"/>
                <w:szCs w:val="14"/>
              </w:rPr>
              <w:t xml:space="preserve"> </w:t>
            </w:r>
            <w:r w:rsidR="000A42BF" w:rsidRPr="00FC44EB">
              <w:rPr>
                <w:sz w:val="14"/>
                <w:szCs w:val="14"/>
              </w:rPr>
              <w:t xml:space="preserve">are likely to be less than for the epidemic scenario </w:t>
            </w:r>
            <w:r w:rsidR="00CD424B" w:rsidRPr="00FC44EB">
              <w:rPr>
                <w:sz w:val="14"/>
                <w:szCs w:val="14"/>
              </w:rPr>
              <w:t>U</w:t>
            </w:r>
            <w:r w:rsidR="000A42BF" w:rsidRPr="00FC44EB">
              <w:rPr>
                <w:sz w:val="14"/>
                <w:szCs w:val="14"/>
              </w:rPr>
              <w:t xml:space="preserve">se </w:t>
            </w:r>
            <w:r w:rsidR="00CD424B" w:rsidRPr="00FC44EB">
              <w:rPr>
                <w:sz w:val="14"/>
                <w:szCs w:val="14"/>
              </w:rPr>
              <w:t>C</w:t>
            </w:r>
            <w:r w:rsidR="000A42BF" w:rsidRPr="00FC44EB">
              <w:rPr>
                <w:sz w:val="14"/>
                <w:szCs w:val="14"/>
              </w:rPr>
              <w:t>ase, &lt;$15 USD in the US, but considerably less in LMICs.</w:t>
            </w:r>
          </w:p>
          <w:p w14:paraId="572F2851" w14:textId="0F235235" w:rsidR="0039020B" w:rsidRPr="00FC44EB" w:rsidRDefault="0039020B" w:rsidP="0039020B">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r>
      <w:tr w:rsidR="003D70C4" w:rsidRPr="00AD4071" w14:paraId="6634A0EE" w14:textId="77777777" w:rsidTr="003D70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tcPr>
          <w:p w14:paraId="1CFAEC8E" w14:textId="01B1D544" w:rsidR="00A92E4B" w:rsidRPr="00FC44EB" w:rsidRDefault="00BA1B7B" w:rsidP="00940A44">
            <w:pPr>
              <w:pStyle w:val="ListParagraph"/>
              <w:numPr>
                <w:ilvl w:val="0"/>
                <w:numId w:val="7"/>
              </w:numPr>
              <w:ind w:left="155" w:hanging="155"/>
              <w:rPr>
                <w:sz w:val="14"/>
                <w:szCs w:val="14"/>
              </w:rPr>
            </w:pPr>
            <w:bookmarkStart w:id="4" w:name="_Hlk34911972"/>
            <w:r w:rsidRPr="00FC44EB">
              <w:rPr>
                <w:sz w:val="14"/>
                <w:szCs w:val="14"/>
              </w:rPr>
              <w:lastRenderedPageBreak/>
              <w:t>Triage</w:t>
            </w:r>
            <w:r w:rsidR="001A6BDC">
              <w:rPr>
                <w:sz w:val="14"/>
                <w:szCs w:val="14"/>
              </w:rPr>
              <w:t xml:space="preserve"> </w:t>
            </w:r>
            <w:r w:rsidRPr="00FC44EB">
              <w:rPr>
                <w:sz w:val="14"/>
                <w:szCs w:val="14"/>
              </w:rPr>
              <w:t xml:space="preserve">of </w:t>
            </w:r>
            <w:r w:rsidR="00CA15D2">
              <w:rPr>
                <w:sz w:val="14"/>
                <w:szCs w:val="14"/>
              </w:rPr>
              <w:t>non-</w:t>
            </w:r>
            <w:r w:rsidRPr="00FC44EB">
              <w:rPr>
                <w:sz w:val="14"/>
                <w:szCs w:val="14"/>
              </w:rPr>
              <w:t>symptomatic</w:t>
            </w:r>
            <w:r w:rsidR="00CA15D2">
              <w:rPr>
                <w:sz w:val="14"/>
                <w:szCs w:val="14"/>
              </w:rPr>
              <w:t xml:space="preserve"> </w:t>
            </w:r>
            <w:r w:rsidRPr="00FC44EB">
              <w:rPr>
                <w:sz w:val="14"/>
                <w:szCs w:val="14"/>
              </w:rPr>
              <w:t>and symptomatic individuals in endemic settings</w:t>
            </w:r>
            <w:bookmarkEnd w:id="4"/>
          </w:p>
        </w:tc>
        <w:tc>
          <w:tcPr>
            <w:tcW w:w="974" w:type="pct"/>
          </w:tcPr>
          <w:p w14:paraId="5D888175" w14:textId="516C6C18" w:rsidR="00A92E4B" w:rsidRDefault="00B75222"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intended use</w:t>
            </w:r>
            <w:r w:rsidR="004C5676" w:rsidRPr="00FC44EB">
              <w:rPr>
                <w:sz w:val="14"/>
                <w:szCs w:val="14"/>
              </w:rPr>
              <w:t xml:space="preserve"> is to determine if </w:t>
            </w:r>
            <w:r w:rsidR="007A30CF">
              <w:rPr>
                <w:sz w:val="14"/>
                <w:szCs w:val="14"/>
              </w:rPr>
              <w:t xml:space="preserve">a </w:t>
            </w:r>
            <w:r w:rsidR="007C4C8C">
              <w:rPr>
                <w:sz w:val="14"/>
                <w:szCs w:val="14"/>
              </w:rPr>
              <w:t xml:space="preserve">symptomatic </w:t>
            </w:r>
            <w:r w:rsidR="004C5676" w:rsidRPr="00FC44EB">
              <w:rPr>
                <w:sz w:val="14"/>
                <w:szCs w:val="14"/>
              </w:rPr>
              <w:t xml:space="preserve">or </w:t>
            </w:r>
            <w:r w:rsidR="007A30CF">
              <w:rPr>
                <w:sz w:val="14"/>
                <w:szCs w:val="14"/>
              </w:rPr>
              <w:t>non-</w:t>
            </w:r>
            <w:r w:rsidR="004C5676" w:rsidRPr="00FC44EB">
              <w:rPr>
                <w:sz w:val="14"/>
                <w:szCs w:val="14"/>
              </w:rPr>
              <w:t>symptom</w:t>
            </w:r>
            <w:r w:rsidR="007A30CF">
              <w:rPr>
                <w:sz w:val="14"/>
                <w:szCs w:val="14"/>
              </w:rPr>
              <w:t>atic</w:t>
            </w:r>
            <w:r w:rsidR="004C5676" w:rsidRPr="00FC44EB">
              <w:rPr>
                <w:sz w:val="14"/>
                <w:szCs w:val="14"/>
              </w:rPr>
              <w:t xml:space="preserve"> </w:t>
            </w:r>
            <w:r w:rsidR="007C4C8C">
              <w:rPr>
                <w:sz w:val="14"/>
                <w:szCs w:val="14"/>
              </w:rPr>
              <w:t xml:space="preserve">(asymptomatic or pre-symptomatic) </w:t>
            </w:r>
            <w:r w:rsidR="007A30CF">
              <w:rPr>
                <w:sz w:val="14"/>
                <w:szCs w:val="14"/>
              </w:rPr>
              <w:t xml:space="preserve">person </w:t>
            </w:r>
            <w:r w:rsidR="004C5676" w:rsidRPr="00FC44EB">
              <w:rPr>
                <w:sz w:val="14"/>
                <w:szCs w:val="14"/>
              </w:rPr>
              <w:t>in an endemic setting has a reasonable likelihood of a current</w:t>
            </w:r>
            <w:r w:rsidR="007D55EB">
              <w:rPr>
                <w:sz w:val="14"/>
                <w:szCs w:val="14"/>
              </w:rPr>
              <w:t xml:space="preserve"> SARS-CoV-2 virus </w:t>
            </w:r>
            <w:r w:rsidR="002934BA">
              <w:rPr>
                <w:sz w:val="14"/>
                <w:szCs w:val="14"/>
              </w:rPr>
              <w:t xml:space="preserve">infection </w:t>
            </w:r>
            <w:r w:rsidR="004C5676" w:rsidRPr="00FC44EB">
              <w:rPr>
                <w:sz w:val="14"/>
                <w:szCs w:val="14"/>
              </w:rPr>
              <w:t>warranting temporary isolation pending confirmation testing.</w:t>
            </w:r>
          </w:p>
          <w:p w14:paraId="6151BFD4" w14:textId="2E812AFB" w:rsidR="00DC7774" w:rsidRPr="00FC44EB" w:rsidRDefault="00DC7774"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Confirmation testing is </w:t>
            </w:r>
            <w:r w:rsidR="001A6BDC">
              <w:rPr>
                <w:sz w:val="14"/>
                <w:szCs w:val="14"/>
              </w:rPr>
              <w:t xml:space="preserve">required and </w:t>
            </w:r>
            <w:r>
              <w:rPr>
                <w:sz w:val="14"/>
                <w:szCs w:val="14"/>
              </w:rPr>
              <w:t>described in Use Case 4</w:t>
            </w:r>
          </w:p>
        </w:tc>
        <w:tc>
          <w:tcPr>
            <w:tcW w:w="974" w:type="pct"/>
          </w:tcPr>
          <w:p w14:paraId="1839035B" w14:textId="71BEE97F" w:rsidR="00A92E4B" w:rsidRPr="00FC44EB" w:rsidRDefault="000A75C8" w:rsidP="007B32AE">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Same as above</w:t>
            </w:r>
          </w:p>
        </w:tc>
        <w:tc>
          <w:tcPr>
            <w:tcW w:w="812" w:type="pct"/>
          </w:tcPr>
          <w:p w14:paraId="5E427DA4" w14:textId="0DC9DFF2" w:rsidR="00A92E4B" w:rsidRPr="00FC44EB" w:rsidRDefault="00CC47FB" w:rsidP="00A750F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Same as </w:t>
            </w:r>
            <w:r w:rsidR="00883B05" w:rsidRPr="00FC44EB">
              <w:rPr>
                <w:sz w:val="14"/>
                <w:szCs w:val="14"/>
              </w:rPr>
              <w:t>U</w:t>
            </w:r>
            <w:r w:rsidRPr="00FC44EB">
              <w:rPr>
                <w:sz w:val="14"/>
                <w:szCs w:val="14"/>
              </w:rPr>
              <w:t xml:space="preserve">se </w:t>
            </w:r>
            <w:r w:rsidR="00883B05" w:rsidRPr="00FC44EB">
              <w:rPr>
                <w:sz w:val="14"/>
                <w:szCs w:val="14"/>
              </w:rPr>
              <w:t>C</w:t>
            </w:r>
            <w:r w:rsidRPr="00FC44EB">
              <w:rPr>
                <w:sz w:val="14"/>
                <w:szCs w:val="14"/>
              </w:rPr>
              <w:t>ase 2</w:t>
            </w:r>
          </w:p>
        </w:tc>
        <w:tc>
          <w:tcPr>
            <w:tcW w:w="1754" w:type="pct"/>
          </w:tcPr>
          <w:p w14:paraId="0FECB597" w14:textId="53C243FD" w:rsidR="0032681C" w:rsidRPr="00FC44EB" w:rsidRDefault="00F13077" w:rsidP="00D953E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While the sites for testing under this scenario are the same as for </w:t>
            </w:r>
            <w:r w:rsidR="00CD424B" w:rsidRPr="00FC44EB">
              <w:rPr>
                <w:sz w:val="14"/>
                <w:szCs w:val="14"/>
              </w:rPr>
              <w:t>U</w:t>
            </w:r>
            <w:r w:rsidRPr="00FC44EB">
              <w:rPr>
                <w:sz w:val="14"/>
                <w:szCs w:val="14"/>
              </w:rPr>
              <w:t xml:space="preserve">se </w:t>
            </w:r>
            <w:r w:rsidR="00CD424B" w:rsidRPr="00FC44EB">
              <w:rPr>
                <w:sz w:val="14"/>
                <w:szCs w:val="14"/>
              </w:rPr>
              <w:t>C</w:t>
            </w:r>
            <w:r w:rsidRPr="00FC44EB">
              <w:rPr>
                <w:sz w:val="14"/>
                <w:szCs w:val="14"/>
              </w:rPr>
              <w:t xml:space="preserve">ases 1 and 2, testing for </w:t>
            </w:r>
            <w:r w:rsidR="007C4C8C">
              <w:rPr>
                <w:sz w:val="14"/>
                <w:szCs w:val="14"/>
              </w:rPr>
              <w:t>non-symptomatic (</w:t>
            </w:r>
            <w:r w:rsidRPr="00FC44EB">
              <w:rPr>
                <w:sz w:val="14"/>
                <w:szCs w:val="14"/>
              </w:rPr>
              <w:t>pre-symptomatic</w:t>
            </w:r>
            <w:r w:rsidR="00BB5192">
              <w:rPr>
                <w:sz w:val="14"/>
                <w:szCs w:val="14"/>
              </w:rPr>
              <w:t xml:space="preserve"> and asymptomatic</w:t>
            </w:r>
            <w:r w:rsidR="007C4C8C">
              <w:rPr>
                <w:sz w:val="14"/>
                <w:szCs w:val="14"/>
              </w:rPr>
              <w:t>)</w:t>
            </w:r>
            <w:r w:rsidRPr="00FC44EB">
              <w:rPr>
                <w:sz w:val="14"/>
                <w:szCs w:val="14"/>
              </w:rPr>
              <w:t xml:space="preserve"> individuals is far more </w:t>
            </w:r>
            <w:r w:rsidR="00D953E4" w:rsidRPr="00FC44EB">
              <w:rPr>
                <w:sz w:val="14"/>
                <w:szCs w:val="14"/>
              </w:rPr>
              <w:t>difficult</w:t>
            </w:r>
            <w:r w:rsidRPr="00FC44EB">
              <w:rPr>
                <w:sz w:val="14"/>
                <w:szCs w:val="14"/>
              </w:rPr>
              <w:t xml:space="preserve">.  </w:t>
            </w:r>
            <w:r w:rsidR="00610382" w:rsidRPr="00FC44EB">
              <w:rPr>
                <w:sz w:val="14"/>
                <w:szCs w:val="14"/>
              </w:rPr>
              <w:t>T</w:t>
            </w:r>
            <w:r w:rsidR="00D953E4" w:rsidRPr="00FC44EB">
              <w:rPr>
                <w:sz w:val="14"/>
                <w:szCs w:val="14"/>
              </w:rPr>
              <w:t xml:space="preserve">esting of the </w:t>
            </w:r>
            <w:r w:rsidR="00610382" w:rsidRPr="00FC44EB">
              <w:rPr>
                <w:sz w:val="14"/>
                <w:szCs w:val="14"/>
              </w:rPr>
              <w:t xml:space="preserve">general </w:t>
            </w:r>
            <w:r w:rsidR="00D953E4" w:rsidRPr="00FC44EB">
              <w:rPr>
                <w:sz w:val="14"/>
                <w:szCs w:val="14"/>
              </w:rPr>
              <w:t>population is problematic f</w:t>
            </w:r>
            <w:r w:rsidRPr="00FC44EB">
              <w:rPr>
                <w:sz w:val="14"/>
                <w:szCs w:val="14"/>
              </w:rPr>
              <w:t xml:space="preserve">or a variety of reasons, including cost, access, awareness, </w:t>
            </w:r>
            <w:r w:rsidR="00403936" w:rsidRPr="00FC44EB">
              <w:rPr>
                <w:sz w:val="14"/>
                <w:szCs w:val="14"/>
              </w:rPr>
              <w:t xml:space="preserve">appropriateness, </w:t>
            </w:r>
            <w:r w:rsidRPr="00FC44EB">
              <w:rPr>
                <w:sz w:val="14"/>
                <w:szCs w:val="14"/>
              </w:rPr>
              <w:t>logistics and others</w:t>
            </w:r>
            <w:r w:rsidR="00273A99" w:rsidRPr="00FC44EB">
              <w:rPr>
                <w:sz w:val="14"/>
                <w:szCs w:val="14"/>
              </w:rPr>
              <w:t>.</w:t>
            </w:r>
          </w:p>
          <w:p w14:paraId="7FAA9952" w14:textId="10CE7162" w:rsidR="00A92E4B" w:rsidRPr="00FC44EB" w:rsidRDefault="0032681C"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This scenario could include </w:t>
            </w:r>
            <w:r w:rsidR="007C4C8C">
              <w:rPr>
                <w:sz w:val="14"/>
                <w:szCs w:val="14"/>
              </w:rPr>
              <w:t xml:space="preserve">non-symptomatic </w:t>
            </w:r>
            <w:r w:rsidR="00403936" w:rsidRPr="00FC44EB">
              <w:rPr>
                <w:sz w:val="14"/>
                <w:szCs w:val="14"/>
              </w:rPr>
              <w:t>at-risk</w:t>
            </w:r>
            <w:r w:rsidRPr="00FC44EB">
              <w:rPr>
                <w:sz w:val="14"/>
                <w:szCs w:val="14"/>
              </w:rPr>
              <w:t xml:space="preserve"> contacts of individuals who tested positive for SARS-CoV-2</w:t>
            </w:r>
            <w:r w:rsidR="00BB5192">
              <w:rPr>
                <w:sz w:val="14"/>
                <w:szCs w:val="14"/>
              </w:rPr>
              <w:t xml:space="preserve"> virus</w:t>
            </w:r>
            <w:r w:rsidR="002934BA">
              <w:rPr>
                <w:sz w:val="14"/>
                <w:szCs w:val="14"/>
              </w:rPr>
              <w:t xml:space="preserve"> infection</w:t>
            </w:r>
            <w:r w:rsidR="00273A99" w:rsidRPr="00FC44EB">
              <w:rPr>
                <w:sz w:val="14"/>
                <w:szCs w:val="14"/>
              </w:rPr>
              <w:t>.</w:t>
            </w:r>
            <w:r w:rsidR="00F13077" w:rsidRPr="00FC44EB">
              <w:rPr>
                <w:sz w:val="14"/>
                <w:szCs w:val="14"/>
              </w:rPr>
              <w:t xml:space="preserve"> </w:t>
            </w:r>
          </w:p>
          <w:p w14:paraId="44BB6F30" w14:textId="182AD0AA" w:rsidR="00F13077" w:rsidRPr="00FC44EB" w:rsidRDefault="00155014"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A</w:t>
            </w:r>
            <w:r w:rsidR="00F13077" w:rsidRPr="00FC44EB">
              <w:rPr>
                <w:sz w:val="14"/>
                <w:szCs w:val="14"/>
              </w:rPr>
              <w:t xml:space="preserve">new symptomatic case will </w:t>
            </w:r>
            <w:r w:rsidR="00273A99" w:rsidRPr="00FC44EB">
              <w:rPr>
                <w:sz w:val="14"/>
                <w:szCs w:val="14"/>
              </w:rPr>
              <w:t xml:space="preserve">occasionally </w:t>
            </w:r>
            <w:r w:rsidR="00F13077" w:rsidRPr="00FC44EB">
              <w:rPr>
                <w:sz w:val="14"/>
                <w:szCs w:val="14"/>
              </w:rPr>
              <w:t>appear and could initiate a broader testing protocol for recent contacts.</w:t>
            </w:r>
          </w:p>
          <w:p w14:paraId="5E866C25" w14:textId="794B6D2E" w:rsidR="00F13077" w:rsidRPr="00FC44EB" w:rsidRDefault="009A4383"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Decentralized testing is a preferred option</w:t>
            </w:r>
            <w:r w:rsidRPr="00FC44EB" w:rsidDel="009A4383">
              <w:rPr>
                <w:sz w:val="14"/>
                <w:szCs w:val="14"/>
              </w:rPr>
              <w:t xml:space="preserve"> </w:t>
            </w:r>
            <w:r w:rsidRPr="00FC44EB">
              <w:rPr>
                <w:sz w:val="14"/>
                <w:szCs w:val="14"/>
              </w:rPr>
              <w:t>f</w:t>
            </w:r>
            <w:r w:rsidR="00F13077" w:rsidRPr="00FC44EB">
              <w:rPr>
                <w:sz w:val="14"/>
                <w:szCs w:val="14"/>
              </w:rPr>
              <w:t xml:space="preserve">or rapid turnaround, prevention of loss to follow-up and other reasons.  </w:t>
            </w:r>
          </w:p>
          <w:p w14:paraId="7A1040E6" w14:textId="53EE8A4C" w:rsidR="00F13077" w:rsidRPr="00FC44EB" w:rsidRDefault="00F13077" w:rsidP="00734A9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In this case, using tests with very high sensitivity and specificity (&gt;99%) could reduce or eliminate the need for confirmation testing</w:t>
            </w:r>
            <w:r w:rsidR="009A4383" w:rsidRPr="00FC44EB">
              <w:rPr>
                <w:sz w:val="14"/>
                <w:szCs w:val="14"/>
              </w:rPr>
              <w:t>.</w:t>
            </w:r>
            <w:r w:rsidRPr="00FC44EB">
              <w:rPr>
                <w:sz w:val="14"/>
                <w:szCs w:val="14"/>
              </w:rPr>
              <w:t xml:space="preserve"> </w:t>
            </w:r>
            <w:r w:rsidR="009A4383" w:rsidRPr="00FC44EB">
              <w:rPr>
                <w:sz w:val="14"/>
                <w:szCs w:val="14"/>
              </w:rPr>
              <w:t>I</w:t>
            </w:r>
            <w:r w:rsidRPr="00FC44EB">
              <w:rPr>
                <w:sz w:val="14"/>
                <w:szCs w:val="14"/>
              </w:rPr>
              <w:t xml:space="preserve">ndividuals testing positive </w:t>
            </w:r>
            <w:r w:rsidR="009A4383" w:rsidRPr="00FC44EB">
              <w:rPr>
                <w:sz w:val="14"/>
                <w:szCs w:val="14"/>
              </w:rPr>
              <w:t>would be</w:t>
            </w:r>
            <w:r w:rsidRPr="00FC44EB">
              <w:rPr>
                <w:sz w:val="14"/>
                <w:szCs w:val="14"/>
              </w:rPr>
              <w:t xml:space="preserve"> moved immediately to isolation.  The large majority of individuals will be negative for C</w:t>
            </w:r>
            <w:r w:rsidR="00273A99" w:rsidRPr="00FC44EB">
              <w:rPr>
                <w:sz w:val="14"/>
                <w:szCs w:val="14"/>
              </w:rPr>
              <w:t>OVID</w:t>
            </w:r>
            <w:r w:rsidRPr="00FC44EB">
              <w:rPr>
                <w:sz w:val="14"/>
                <w:szCs w:val="14"/>
              </w:rPr>
              <w:t>-19</w:t>
            </w:r>
            <w:r w:rsidR="00403936" w:rsidRPr="00FC44EB">
              <w:rPr>
                <w:sz w:val="14"/>
                <w:szCs w:val="14"/>
              </w:rPr>
              <w:t xml:space="preserve"> (likely &gt;99%)</w:t>
            </w:r>
            <w:r w:rsidRPr="00FC44EB">
              <w:rPr>
                <w:sz w:val="14"/>
                <w:szCs w:val="14"/>
              </w:rPr>
              <w:t>.  Such a triage test would be virtually indistinguishable from a diagnostic test</w:t>
            </w:r>
            <w:r w:rsidR="003F4F70" w:rsidRPr="00FC44EB">
              <w:rPr>
                <w:sz w:val="14"/>
                <w:szCs w:val="14"/>
              </w:rPr>
              <w:t xml:space="preserve"> in terms of performance, with the possible exception of cost and ease of use factors.</w:t>
            </w:r>
          </w:p>
          <w:p w14:paraId="43BB02D5" w14:textId="15AC103F" w:rsidR="00BB5192" w:rsidRDefault="00C514FE" w:rsidP="0015374E">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False negative results are likely to result in new transmissions due to a false sense of safety in subjects told they are not infected but actually are. </w:t>
            </w:r>
            <w:r w:rsidR="00BB5192">
              <w:rPr>
                <w:sz w:val="14"/>
                <w:szCs w:val="14"/>
              </w:rPr>
              <w:t xml:space="preserve">Models depicting these various testing scenarios </w:t>
            </w:r>
            <w:r w:rsidR="007C4C8C">
              <w:rPr>
                <w:sz w:val="14"/>
                <w:szCs w:val="14"/>
              </w:rPr>
              <w:t xml:space="preserve">have been reported and are being </w:t>
            </w:r>
            <w:r w:rsidR="00BB5192">
              <w:rPr>
                <w:sz w:val="14"/>
                <w:szCs w:val="14"/>
              </w:rPr>
              <w:t xml:space="preserve">developed. </w:t>
            </w:r>
          </w:p>
          <w:p w14:paraId="4C1EAAB1" w14:textId="706AE2B4" w:rsidR="0015374E" w:rsidRPr="00FC44EB" w:rsidRDefault="0015374E" w:rsidP="0015374E">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turnaround time should be maximally 1 hour, preferably 15 minutes or less</w:t>
            </w:r>
          </w:p>
          <w:p w14:paraId="675ACAB2" w14:textId="04F7FB85" w:rsidR="00883B05" w:rsidRDefault="00883B05" w:rsidP="00883B0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For broadest utility, it is preferable that the test be CLIA</w:t>
            </w:r>
            <w:r w:rsidR="009A4383" w:rsidRPr="00FC44EB">
              <w:rPr>
                <w:sz w:val="14"/>
                <w:szCs w:val="14"/>
              </w:rPr>
              <w:t>-</w:t>
            </w:r>
            <w:r w:rsidRPr="00FC44EB">
              <w:rPr>
                <w:sz w:val="14"/>
                <w:szCs w:val="14"/>
              </w:rPr>
              <w:t>waivable for use by minimally trained users in decentralized testing settings</w:t>
            </w:r>
          </w:p>
          <w:p w14:paraId="3878D21B" w14:textId="2F9212F0" w:rsidR="007077D3" w:rsidRPr="007077D3" w:rsidRDefault="007077D3" w:rsidP="007077D3">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See additional comments in Use Case 1.</w:t>
            </w:r>
          </w:p>
          <w:p w14:paraId="6DAA4045" w14:textId="11ED4B4B" w:rsidR="003F4F70" w:rsidRPr="00FC44EB" w:rsidRDefault="00403936"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Price</w:t>
            </w:r>
            <w:r w:rsidR="003F4F70" w:rsidRPr="00FC44EB">
              <w:rPr>
                <w:sz w:val="14"/>
                <w:szCs w:val="14"/>
              </w:rPr>
              <w:t xml:space="preserve"> targets</w:t>
            </w:r>
            <w:r w:rsidR="00010E3A">
              <w:rPr>
                <w:sz w:val="14"/>
                <w:szCs w:val="14"/>
              </w:rPr>
              <w:t>*</w:t>
            </w:r>
            <w:r w:rsidR="003F4F70" w:rsidRPr="00FC44EB">
              <w:rPr>
                <w:sz w:val="14"/>
                <w:szCs w:val="14"/>
              </w:rPr>
              <w:t xml:space="preserve"> are likely to be &lt;$25 USD in the US</w:t>
            </w:r>
            <w:r w:rsidR="00BB5192">
              <w:rPr>
                <w:sz w:val="14"/>
                <w:szCs w:val="14"/>
              </w:rPr>
              <w:t>, with value premiums driven by the need to accurately and easily identify</w:t>
            </w:r>
            <w:r w:rsidR="003F4F70" w:rsidRPr="00FC44EB">
              <w:rPr>
                <w:sz w:val="14"/>
                <w:szCs w:val="14"/>
              </w:rPr>
              <w:t xml:space="preserve"> individuals early</w:t>
            </w:r>
            <w:r w:rsidRPr="00FC44EB">
              <w:rPr>
                <w:sz w:val="14"/>
                <w:szCs w:val="14"/>
              </w:rPr>
              <w:t>, and for convenience</w:t>
            </w:r>
            <w:r w:rsidR="003F4F70" w:rsidRPr="00FC44EB">
              <w:rPr>
                <w:sz w:val="14"/>
                <w:szCs w:val="14"/>
              </w:rPr>
              <w:t>, but pricing pressure would remain in LMICs.</w:t>
            </w:r>
          </w:p>
          <w:p w14:paraId="37DAF6A3" w14:textId="296DA045" w:rsidR="0039020B" w:rsidRPr="00FC44EB" w:rsidRDefault="0039020B" w:rsidP="0039020B">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r>
      <w:tr w:rsidR="003D70C4" w:rsidRPr="00AD4071" w14:paraId="2432F975" w14:textId="77777777" w:rsidTr="003D70C4">
        <w:trPr>
          <w:cantSplit/>
        </w:trPr>
        <w:tc>
          <w:tcPr>
            <w:cnfStyle w:val="001000000000" w:firstRow="0" w:lastRow="0" w:firstColumn="1" w:lastColumn="0" w:oddVBand="0" w:evenVBand="0" w:oddHBand="0" w:evenHBand="0" w:firstRowFirstColumn="0" w:firstRowLastColumn="0" w:lastRowFirstColumn="0" w:lastRowLastColumn="0"/>
            <w:tcW w:w="485" w:type="pct"/>
          </w:tcPr>
          <w:p w14:paraId="6C9FC56C" w14:textId="397D8388" w:rsidR="00A92E4B" w:rsidRPr="00FC44EB" w:rsidRDefault="00BA1B7B" w:rsidP="00940A44">
            <w:pPr>
              <w:pStyle w:val="ListParagraph"/>
              <w:numPr>
                <w:ilvl w:val="0"/>
                <w:numId w:val="7"/>
              </w:numPr>
              <w:ind w:left="155" w:hanging="155"/>
              <w:rPr>
                <w:sz w:val="14"/>
                <w:szCs w:val="14"/>
              </w:rPr>
            </w:pPr>
            <w:bookmarkStart w:id="5" w:name="_Hlk34911983"/>
            <w:r w:rsidRPr="00FC44EB">
              <w:rPr>
                <w:sz w:val="14"/>
                <w:szCs w:val="14"/>
              </w:rPr>
              <w:lastRenderedPageBreak/>
              <w:t xml:space="preserve">Confirmatory </w:t>
            </w:r>
            <w:r w:rsidR="00DC7774">
              <w:rPr>
                <w:sz w:val="14"/>
                <w:szCs w:val="14"/>
              </w:rPr>
              <w:t xml:space="preserve">of Triage </w:t>
            </w:r>
            <w:r w:rsidRPr="00FC44EB">
              <w:rPr>
                <w:sz w:val="14"/>
                <w:szCs w:val="14"/>
              </w:rPr>
              <w:t>testing</w:t>
            </w:r>
            <w:bookmarkEnd w:id="5"/>
          </w:p>
        </w:tc>
        <w:tc>
          <w:tcPr>
            <w:tcW w:w="974" w:type="pct"/>
          </w:tcPr>
          <w:p w14:paraId="2FBDF7A8" w14:textId="67A429FA" w:rsidR="00A92E4B" w:rsidRPr="007077D3" w:rsidRDefault="00B75222" w:rsidP="007077D3">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intended use</w:t>
            </w:r>
            <w:r w:rsidR="00734ECD" w:rsidRPr="00FC44EB">
              <w:rPr>
                <w:sz w:val="14"/>
                <w:szCs w:val="14"/>
              </w:rPr>
              <w:t xml:space="preserve"> is to confirm </w:t>
            </w:r>
            <w:r w:rsidR="007077D3" w:rsidRPr="00FC44EB">
              <w:rPr>
                <w:sz w:val="14"/>
                <w:szCs w:val="14"/>
              </w:rPr>
              <w:t xml:space="preserve">after triage testing </w:t>
            </w:r>
            <w:r w:rsidR="00734ECD" w:rsidRPr="007077D3">
              <w:rPr>
                <w:sz w:val="14"/>
                <w:szCs w:val="14"/>
              </w:rPr>
              <w:t>that an individual is currently infected with SARS</w:t>
            </w:r>
            <w:r w:rsidR="00CC47FB" w:rsidRPr="007077D3">
              <w:rPr>
                <w:sz w:val="14"/>
                <w:szCs w:val="14"/>
              </w:rPr>
              <w:t>-</w:t>
            </w:r>
            <w:r w:rsidR="00734ECD" w:rsidRPr="007077D3">
              <w:rPr>
                <w:sz w:val="14"/>
                <w:szCs w:val="14"/>
              </w:rPr>
              <w:t xml:space="preserve">CoV-2 </w:t>
            </w:r>
            <w:r w:rsidR="007D55EB" w:rsidRPr="007077D3">
              <w:rPr>
                <w:sz w:val="14"/>
                <w:szCs w:val="14"/>
              </w:rPr>
              <w:t xml:space="preserve">virus </w:t>
            </w:r>
          </w:p>
          <w:p w14:paraId="0EC45747" w14:textId="77777777" w:rsidR="00C83B9F" w:rsidRDefault="00734ECD" w:rsidP="004B78F0">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Sites of testing would </w:t>
            </w:r>
            <w:r w:rsidR="00D83C02" w:rsidRPr="00FC44EB">
              <w:rPr>
                <w:sz w:val="14"/>
                <w:szCs w:val="14"/>
              </w:rPr>
              <w:t>depend</w:t>
            </w:r>
            <w:r w:rsidRPr="00FC44EB">
              <w:rPr>
                <w:sz w:val="14"/>
                <w:szCs w:val="14"/>
              </w:rPr>
              <w:t xml:space="preserve"> </w:t>
            </w:r>
            <w:r w:rsidR="00C83B9F">
              <w:rPr>
                <w:sz w:val="14"/>
                <w:szCs w:val="14"/>
              </w:rPr>
              <w:t>up</w:t>
            </w:r>
            <w:r w:rsidRPr="00FC44EB">
              <w:rPr>
                <w:sz w:val="14"/>
                <w:szCs w:val="14"/>
              </w:rPr>
              <w:t>on where the triage tests are being performed</w:t>
            </w:r>
            <w:r w:rsidR="00DB3A0D" w:rsidRPr="00FC44EB">
              <w:rPr>
                <w:sz w:val="14"/>
                <w:szCs w:val="14"/>
              </w:rPr>
              <w:t>.</w:t>
            </w:r>
            <w:r w:rsidR="00610382" w:rsidRPr="00FC44EB">
              <w:rPr>
                <w:sz w:val="14"/>
                <w:szCs w:val="14"/>
              </w:rPr>
              <w:t xml:space="preserve"> </w:t>
            </w:r>
          </w:p>
          <w:p w14:paraId="34F4CAB1" w14:textId="73CCB18D" w:rsidR="00734ECD" w:rsidRDefault="00610382" w:rsidP="004B78F0">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In some </w:t>
            </w:r>
            <w:r w:rsidR="00C5041E" w:rsidRPr="00FC44EB">
              <w:rPr>
                <w:sz w:val="14"/>
                <w:szCs w:val="14"/>
              </w:rPr>
              <w:t>situations,</w:t>
            </w:r>
            <w:r w:rsidRPr="00FC44EB">
              <w:rPr>
                <w:sz w:val="14"/>
                <w:szCs w:val="14"/>
              </w:rPr>
              <w:t xml:space="preserve"> confirmation testing will be conducted at the same site as triage testing (same day), while in others testing could be a send-out test</w:t>
            </w:r>
            <w:r w:rsidR="00734ECD" w:rsidRPr="00FC44EB">
              <w:rPr>
                <w:sz w:val="14"/>
                <w:szCs w:val="14"/>
              </w:rPr>
              <w:t xml:space="preserve"> </w:t>
            </w:r>
            <w:r w:rsidRPr="00FC44EB">
              <w:rPr>
                <w:sz w:val="14"/>
                <w:szCs w:val="14"/>
              </w:rPr>
              <w:t>(multi-day)</w:t>
            </w:r>
          </w:p>
          <w:p w14:paraId="4865A6E3" w14:textId="6E7DE157" w:rsidR="001A6BDC" w:rsidRPr="00FC44EB" w:rsidRDefault="009E28F0" w:rsidP="004B78F0">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Tests used as diagnostics (Use Cases 5) are acceptable candidates for confirmation tests</w:t>
            </w:r>
          </w:p>
        </w:tc>
        <w:tc>
          <w:tcPr>
            <w:tcW w:w="974" w:type="pct"/>
          </w:tcPr>
          <w:p w14:paraId="12710913" w14:textId="2B8EE842" w:rsidR="001C28E0" w:rsidRDefault="001C28E0" w:rsidP="001C28E0">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If </w:t>
            </w:r>
            <w:r w:rsidR="004A1945">
              <w:rPr>
                <w:sz w:val="14"/>
                <w:szCs w:val="14"/>
              </w:rPr>
              <w:t xml:space="preserve">respiratory tract </w:t>
            </w:r>
            <w:r w:rsidRPr="00FC44EB">
              <w:rPr>
                <w:sz w:val="14"/>
                <w:szCs w:val="14"/>
              </w:rPr>
              <w:t>s</w:t>
            </w:r>
            <w:r w:rsidR="004A1945">
              <w:rPr>
                <w:sz w:val="14"/>
                <w:szCs w:val="14"/>
              </w:rPr>
              <w:t>amples</w:t>
            </w:r>
            <w:r w:rsidRPr="00FC44EB">
              <w:rPr>
                <w:sz w:val="14"/>
                <w:szCs w:val="14"/>
              </w:rPr>
              <w:t xml:space="preserve"> are required, proper collection (e.g., </w:t>
            </w:r>
            <w:r w:rsidR="00C83B9F">
              <w:rPr>
                <w:sz w:val="14"/>
                <w:szCs w:val="14"/>
              </w:rPr>
              <w:t xml:space="preserve">nasal </w:t>
            </w:r>
            <w:r w:rsidRPr="00FC44EB">
              <w:rPr>
                <w:sz w:val="14"/>
                <w:szCs w:val="14"/>
              </w:rPr>
              <w:t>swab</w:t>
            </w:r>
            <w:r w:rsidR="00C83B9F">
              <w:rPr>
                <w:sz w:val="14"/>
                <w:szCs w:val="14"/>
              </w:rPr>
              <w:t xml:space="preserve"> or saliva cup/tube</w:t>
            </w:r>
            <w:r w:rsidRPr="00FC44EB">
              <w:rPr>
                <w:sz w:val="14"/>
                <w:szCs w:val="14"/>
              </w:rPr>
              <w:t>) and sample introduction to testing device (e.g., swab introduction port) will be necessary</w:t>
            </w:r>
          </w:p>
          <w:p w14:paraId="1575D188" w14:textId="77777777" w:rsidR="001C28E0" w:rsidRDefault="001C28E0" w:rsidP="001C28E0">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Automated swab elution equipment may be required to support testing in high-volume settings</w:t>
            </w:r>
          </w:p>
          <w:p w14:paraId="7EC0269B" w14:textId="5DDA681C" w:rsidR="00A92E4B" w:rsidRPr="00FC44EB" w:rsidRDefault="00A92E4B" w:rsidP="00EF4222">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812" w:type="pct"/>
          </w:tcPr>
          <w:p w14:paraId="4CEA4F61" w14:textId="1D9D2440" w:rsidR="001C28E0" w:rsidRDefault="001C28E0" w:rsidP="001C28E0">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N</w:t>
            </w:r>
            <w:r w:rsidRPr="00FC44EB">
              <w:rPr>
                <w:sz w:val="14"/>
                <w:szCs w:val="14"/>
              </w:rPr>
              <w:t xml:space="preserve">asopharyngeal swabs remain </w:t>
            </w:r>
            <w:r w:rsidR="004A1945">
              <w:rPr>
                <w:sz w:val="14"/>
                <w:szCs w:val="14"/>
              </w:rPr>
              <w:t xml:space="preserve">a </w:t>
            </w:r>
            <w:r w:rsidRPr="00FC44EB">
              <w:rPr>
                <w:sz w:val="14"/>
                <w:szCs w:val="14"/>
              </w:rPr>
              <w:t>common choice</w:t>
            </w:r>
            <w:r>
              <w:rPr>
                <w:sz w:val="14"/>
                <w:szCs w:val="14"/>
              </w:rPr>
              <w:t xml:space="preserve"> for RNA tests</w:t>
            </w:r>
            <w:r w:rsidR="004A1945">
              <w:rPr>
                <w:sz w:val="14"/>
                <w:szCs w:val="14"/>
              </w:rPr>
              <w:t>, but there is a trend toward nasal sample types that are easier to collect such as nasal and mid-turbinate swabs.</w:t>
            </w:r>
            <w:r w:rsidR="00C83B9F">
              <w:rPr>
                <w:sz w:val="14"/>
                <w:szCs w:val="14"/>
              </w:rPr>
              <w:t xml:space="preserve"> </w:t>
            </w:r>
            <w:r w:rsidR="004A1945">
              <w:rPr>
                <w:sz w:val="14"/>
                <w:szCs w:val="14"/>
              </w:rPr>
              <w:t>The latter options have been used in self-collection protocols with very good performance. The FDA no longer lists nasopharyngeal samples as the only preferred method.</w:t>
            </w:r>
          </w:p>
          <w:p w14:paraId="581EE784" w14:textId="5E11BAD6" w:rsidR="00AE1475" w:rsidRDefault="00AE1475" w:rsidP="001C28E0">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Saliva is becoming an acceptable alternative specimen but might be limited to samples with higher viral loads</w:t>
            </w:r>
            <w:r w:rsidR="00A92FEC">
              <w:rPr>
                <w:sz w:val="14"/>
                <w:szCs w:val="14"/>
              </w:rPr>
              <w:t>.</w:t>
            </w:r>
          </w:p>
          <w:p w14:paraId="56394C5A" w14:textId="360D98E9" w:rsidR="001C28E0" w:rsidRDefault="001C28E0" w:rsidP="001C28E0">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Sputum </w:t>
            </w:r>
            <w:r w:rsidR="009E28F0">
              <w:rPr>
                <w:sz w:val="14"/>
                <w:szCs w:val="14"/>
              </w:rPr>
              <w:t xml:space="preserve">and bronchial lavage </w:t>
            </w:r>
            <w:r>
              <w:rPr>
                <w:sz w:val="14"/>
                <w:szCs w:val="14"/>
              </w:rPr>
              <w:t xml:space="preserve">specimens have </w:t>
            </w:r>
            <w:r w:rsidR="00A92FEC">
              <w:rPr>
                <w:sz w:val="14"/>
                <w:szCs w:val="14"/>
              </w:rPr>
              <w:t>use</w:t>
            </w:r>
            <w:r>
              <w:rPr>
                <w:sz w:val="14"/>
                <w:szCs w:val="14"/>
              </w:rPr>
              <w:t xml:space="preserve"> when testing for lower respiratory involvement</w:t>
            </w:r>
            <w:r w:rsidR="00A92FEC">
              <w:rPr>
                <w:sz w:val="14"/>
                <w:szCs w:val="14"/>
              </w:rPr>
              <w:t>.</w:t>
            </w:r>
            <w:r>
              <w:rPr>
                <w:sz w:val="14"/>
                <w:szCs w:val="14"/>
              </w:rPr>
              <w:t xml:space="preserve"> </w:t>
            </w:r>
          </w:p>
          <w:p w14:paraId="2BD6077F" w14:textId="1EE5B846" w:rsidR="001C28E0" w:rsidRPr="00EF4222" w:rsidRDefault="001C28E0" w:rsidP="001C28E0">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Feces and urine are not preferred specimen types</w:t>
            </w:r>
            <w:r w:rsidR="004A1945">
              <w:rPr>
                <w:sz w:val="14"/>
                <w:szCs w:val="14"/>
              </w:rPr>
              <w:t>, although, as opposed to urine, significant quantities of RNA have been detected in feces</w:t>
            </w:r>
          </w:p>
          <w:p w14:paraId="58BCC422" w14:textId="0CBF8ECD" w:rsidR="00A92E4B" w:rsidRPr="00FC44EB" w:rsidRDefault="00403936" w:rsidP="00CC47F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Sample types may be restricted to those validated for use with the highest performing assay technologies</w:t>
            </w:r>
            <w:r w:rsidR="00DB3A0D" w:rsidRPr="00FC44EB">
              <w:rPr>
                <w:sz w:val="14"/>
                <w:szCs w:val="14"/>
              </w:rPr>
              <w:t>.</w:t>
            </w:r>
          </w:p>
          <w:p w14:paraId="30FBBE3F" w14:textId="37C0E611" w:rsidR="009A4383" w:rsidRPr="00FC44EB" w:rsidRDefault="009A4383" w:rsidP="00CC47F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Samples</w:t>
            </w:r>
            <w:r w:rsidR="006C2D0C" w:rsidRPr="00FC44EB">
              <w:rPr>
                <w:sz w:val="14"/>
                <w:szCs w:val="14"/>
              </w:rPr>
              <w:t xml:space="preserve"> for confirmation testing</w:t>
            </w:r>
            <w:r w:rsidRPr="00FC44EB">
              <w:rPr>
                <w:sz w:val="14"/>
                <w:szCs w:val="14"/>
              </w:rPr>
              <w:t xml:space="preserve"> could be different than for the triage test</w:t>
            </w:r>
            <w:r w:rsidR="00DB3A0D" w:rsidRPr="00FC44EB">
              <w:rPr>
                <w:sz w:val="14"/>
                <w:szCs w:val="14"/>
              </w:rPr>
              <w:t>.</w:t>
            </w:r>
          </w:p>
          <w:p w14:paraId="7E46F403" w14:textId="1564FB84" w:rsidR="00840FE8" w:rsidRPr="00FC44EB" w:rsidRDefault="00BC3387" w:rsidP="00CC47F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It </w:t>
            </w:r>
            <w:r w:rsidR="009E28F0">
              <w:rPr>
                <w:sz w:val="14"/>
                <w:szCs w:val="14"/>
              </w:rPr>
              <w:t>w</w:t>
            </w:r>
            <w:r w:rsidRPr="00FC44EB">
              <w:rPr>
                <w:sz w:val="14"/>
                <w:szCs w:val="14"/>
              </w:rPr>
              <w:t>ould be useful</w:t>
            </w:r>
            <w:r w:rsidRPr="00FC44EB" w:rsidDel="00BC3387">
              <w:rPr>
                <w:sz w:val="14"/>
                <w:szCs w:val="14"/>
              </w:rPr>
              <w:t xml:space="preserve"> </w:t>
            </w:r>
            <w:r w:rsidRPr="00FC44EB">
              <w:rPr>
                <w:sz w:val="14"/>
                <w:szCs w:val="14"/>
              </w:rPr>
              <w:t>to have s</w:t>
            </w:r>
            <w:r w:rsidR="00840FE8" w:rsidRPr="00FC44EB">
              <w:rPr>
                <w:sz w:val="14"/>
                <w:szCs w:val="14"/>
              </w:rPr>
              <w:t xml:space="preserve">elf-collection of samples with either </w:t>
            </w:r>
            <w:r w:rsidR="00686429" w:rsidRPr="00FC44EB">
              <w:rPr>
                <w:sz w:val="14"/>
                <w:szCs w:val="14"/>
              </w:rPr>
              <w:t>courier</w:t>
            </w:r>
            <w:r w:rsidR="00840FE8" w:rsidRPr="00FC44EB">
              <w:rPr>
                <w:sz w:val="14"/>
                <w:szCs w:val="14"/>
              </w:rPr>
              <w:t xml:space="preserve"> pick up or shipment to testing sites for confirmation</w:t>
            </w:r>
            <w:r w:rsidR="004A1945">
              <w:rPr>
                <w:sz w:val="14"/>
                <w:szCs w:val="14"/>
              </w:rPr>
              <w:t>. This is being broadly instituted at the time of writing</w:t>
            </w:r>
            <w:r w:rsidR="00840FE8" w:rsidRPr="00FC44EB">
              <w:rPr>
                <w:sz w:val="14"/>
                <w:szCs w:val="14"/>
              </w:rPr>
              <w:t xml:space="preserve"> </w:t>
            </w:r>
            <w:r w:rsidR="00AE1475">
              <w:rPr>
                <w:sz w:val="14"/>
                <w:szCs w:val="14"/>
              </w:rPr>
              <w:t>for saliva and nasal swabs</w:t>
            </w:r>
            <w:r w:rsidR="00A92FEC">
              <w:rPr>
                <w:sz w:val="14"/>
                <w:szCs w:val="14"/>
              </w:rPr>
              <w:t xml:space="preserve"> for diagnostic testing</w:t>
            </w:r>
          </w:p>
          <w:p w14:paraId="2C9607D7" w14:textId="267DD98A" w:rsidR="009A4383" w:rsidRPr="00FC44EB" w:rsidRDefault="009A4383" w:rsidP="000F63F3">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1754" w:type="pct"/>
          </w:tcPr>
          <w:p w14:paraId="698B0465" w14:textId="49B5DB7E" w:rsidR="00E47262" w:rsidRDefault="00E47262" w:rsidP="00E4726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For this use case, RNA tests are the most likely to be used (PCR, isothermal amp</w:t>
            </w:r>
            <w:r w:rsidR="009E28F0">
              <w:rPr>
                <w:sz w:val="14"/>
                <w:szCs w:val="14"/>
              </w:rPr>
              <w:t>lification</w:t>
            </w:r>
            <w:r>
              <w:rPr>
                <w:sz w:val="14"/>
                <w:szCs w:val="14"/>
              </w:rPr>
              <w:t xml:space="preserve">, NGS).  Depending </w:t>
            </w:r>
            <w:r w:rsidR="004A1945">
              <w:rPr>
                <w:sz w:val="14"/>
                <w:szCs w:val="14"/>
              </w:rPr>
              <w:t>up</w:t>
            </w:r>
            <w:r>
              <w:rPr>
                <w:sz w:val="14"/>
                <w:szCs w:val="14"/>
              </w:rPr>
              <w:t xml:space="preserve">on their performance, antigen tests may also offer value </w:t>
            </w:r>
          </w:p>
          <w:p w14:paraId="2AA76359" w14:textId="767C6D4E" w:rsidR="006C2D0C" w:rsidRPr="00FC44EB" w:rsidRDefault="009A4383" w:rsidP="006C2D0C">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It will be important to consider whether or not sufficient sample should be taken at the time of triage testing</w:t>
            </w:r>
            <w:r w:rsidR="001B5F9A" w:rsidRPr="00FC44EB">
              <w:rPr>
                <w:sz w:val="14"/>
                <w:szCs w:val="14"/>
              </w:rPr>
              <w:t xml:space="preserve"> for potential use with a </w:t>
            </w:r>
            <w:r w:rsidR="007D55EB">
              <w:rPr>
                <w:sz w:val="14"/>
                <w:szCs w:val="14"/>
              </w:rPr>
              <w:t xml:space="preserve">follow-up </w:t>
            </w:r>
            <w:r w:rsidR="001B5F9A" w:rsidRPr="00FC44EB">
              <w:rPr>
                <w:sz w:val="14"/>
                <w:szCs w:val="14"/>
              </w:rPr>
              <w:t>confirmatory test (if warranted),</w:t>
            </w:r>
            <w:r w:rsidRPr="00FC44EB">
              <w:rPr>
                <w:sz w:val="14"/>
                <w:szCs w:val="14"/>
              </w:rPr>
              <w:t xml:space="preserve"> or</w:t>
            </w:r>
            <w:r w:rsidR="001B5F9A" w:rsidRPr="00FC44EB">
              <w:rPr>
                <w:sz w:val="14"/>
                <w:szCs w:val="14"/>
              </w:rPr>
              <w:t xml:space="preserve"> if a second sample </w:t>
            </w:r>
            <w:r w:rsidR="007D55EB">
              <w:rPr>
                <w:sz w:val="14"/>
                <w:szCs w:val="14"/>
              </w:rPr>
              <w:t>should be</w:t>
            </w:r>
            <w:r w:rsidR="004A1945">
              <w:rPr>
                <w:sz w:val="14"/>
                <w:szCs w:val="14"/>
              </w:rPr>
              <w:t xml:space="preserve"> </w:t>
            </w:r>
            <w:r w:rsidR="001B5F9A" w:rsidRPr="00FC44EB">
              <w:rPr>
                <w:sz w:val="14"/>
                <w:szCs w:val="14"/>
              </w:rPr>
              <w:t>collected</w:t>
            </w:r>
            <w:r w:rsidRPr="00FC44EB">
              <w:rPr>
                <w:sz w:val="14"/>
                <w:szCs w:val="14"/>
              </w:rPr>
              <w:t xml:space="preserve"> after results are obtained for </w:t>
            </w:r>
            <w:r w:rsidR="007D55EB">
              <w:rPr>
                <w:sz w:val="14"/>
                <w:szCs w:val="14"/>
              </w:rPr>
              <w:t xml:space="preserve">the </w:t>
            </w:r>
            <w:r w:rsidRPr="00FC44EB">
              <w:rPr>
                <w:sz w:val="14"/>
                <w:szCs w:val="14"/>
              </w:rPr>
              <w:t xml:space="preserve">triage test. Taking a new second sample will be far easier in Group 1 sites than Group 2 sites (see Use Case 1) unless the confirmation test </w:t>
            </w:r>
            <w:r w:rsidR="00D83C02" w:rsidRPr="00FC44EB">
              <w:rPr>
                <w:sz w:val="14"/>
                <w:szCs w:val="14"/>
              </w:rPr>
              <w:t xml:space="preserve">is available </w:t>
            </w:r>
            <w:r w:rsidR="007D55EB">
              <w:rPr>
                <w:sz w:val="14"/>
                <w:szCs w:val="14"/>
              </w:rPr>
              <w:t xml:space="preserve">locally </w:t>
            </w:r>
            <w:r w:rsidR="00D83C02" w:rsidRPr="00FC44EB">
              <w:rPr>
                <w:sz w:val="14"/>
                <w:szCs w:val="14"/>
              </w:rPr>
              <w:t>at the</w:t>
            </w:r>
            <w:r w:rsidRPr="00FC44EB">
              <w:rPr>
                <w:sz w:val="14"/>
                <w:szCs w:val="14"/>
              </w:rPr>
              <w:t xml:space="preserve"> </w:t>
            </w:r>
            <w:r w:rsidR="00734A94" w:rsidRPr="00FC44EB">
              <w:rPr>
                <w:sz w:val="14"/>
                <w:szCs w:val="14"/>
              </w:rPr>
              <w:t>Group 2</w:t>
            </w:r>
            <w:r w:rsidR="00D83C02" w:rsidRPr="00FC44EB">
              <w:rPr>
                <w:sz w:val="14"/>
                <w:szCs w:val="14"/>
              </w:rPr>
              <w:t xml:space="preserve"> site</w:t>
            </w:r>
            <w:r w:rsidR="00DB3A0D" w:rsidRPr="00FC44EB">
              <w:rPr>
                <w:sz w:val="14"/>
                <w:szCs w:val="14"/>
              </w:rPr>
              <w:t>.</w:t>
            </w:r>
            <w:r w:rsidR="001B5F9A" w:rsidRPr="00FC44EB">
              <w:rPr>
                <w:sz w:val="14"/>
                <w:szCs w:val="14"/>
              </w:rPr>
              <w:t xml:space="preserve">  </w:t>
            </w:r>
          </w:p>
          <w:p w14:paraId="06E14FCD" w14:textId="037A5C1C" w:rsidR="00734ECD" w:rsidRPr="00FC44EB" w:rsidRDefault="00AF7AFC"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w:t>
            </w:r>
            <w:r w:rsidR="00734ECD" w:rsidRPr="00FC44EB">
              <w:rPr>
                <w:sz w:val="14"/>
                <w:szCs w:val="14"/>
              </w:rPr>
              <w:t xml:space="preserve">n </w:t>
            </w:r>
            <w:r w:rsidR="00734A94" w:rsidRPr="00FC44EB">
              <w:rPr>
                <w:sz w:val="14"/>
                <w:szCs w:val="14"/>
              </w:rPr>
              <w:t xml:space="preserve">Group 2 </w:t>
            </w:r>
            <w:r w:rsidR="00734ECD" w:rsidRPr="00FC44EB">
              <w:rPr>
                <w:sz w:val="14"/>
                <w:szCs w:val="14"/>
              </w:rPr>
              <w:t>sites</w:t>
            </w:r>
            <w:r w:rsidR="00D83C02" w:rsidRPr="00FC44EB">
              <w:rPr>
                <w:sz w:val="14"/>
                <w:szCs w:val="14"/>
              </w:rPr>
              <w:t>,</w:t>
            </w:r>
            <w:r w:rsidR="00734ECD" w:rsidRPr="00FC44EB">
              <w:rPr>
                <w:sz w:val="14"/>
                <w:szCs w:val="14"/>
              </w:rPr>
              <w:t xml:space="preserve"> local confirmation testing is preferred, for instance, in a qualified lab near an emergency room or primary care facility.</w:t>
            </w:r>
          </w:p>
          <w:p w14:paraId="5906CAD7" w14:textId="5362C06A" w:rsidR="008D7DC9" w:rsidRPr="00FC44EB" w:rsidRDefault="008D7DC9"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In Group 2 sites</w:t>
            </w:r>
            <w:r w:rsidR="00BC3387" w:rsidRPr="00FC44EB">
              <w:rPr>
                <w:sz w:val="14"/>
                <w:szCs w:val="14"/>
              </w:rPr>
              <w:t xml:space="preserve"> without local confirmation testing</w:t>
            </w:r>
            <w:r w:rsidR="00D83C02" w:rsidRPr="00FC44EB">
              <w:rPr>
                <w:sz w:val="14"/>
                <w:szCs w:val="14"/>
              </w:rPr>
              <w:t>,</w:t>
            </w:r>
            <w:r w:rsidRPr="00FC44EB">
              <w:rPr>
                <w:sz w:val="14"/>
                <w:szCs w:val="14"/>
              </w:rPr>
              <w:t xml:space="preserve"> it is probable that an individual will go home </w:t>
            </w:r>
            <w:r w:rsidR="00BC3387" w:rsidRPr="00FC44EB">
              <w:rPr>
                <w:sz w:val="14"/>
                <w:szCs w:val="14"/>
              </w:rPr>
              <w:t>to self</w:t>
            </w:r>
            <w:r w:rsidR="0057511C">
              <w:rPr>
                <w:sz w:val="14"/>
                <w:szCs w:val="14"/>
              </w:rPr>
              <w:t>-isolate</w:t>
            </w:r>
            <w:r w:rsidR="00BC3387" w:rsidRPr="00FC44EB">
              <w:rPr>
                <w:sz w:val="14"/>
                <w:szCs w:val="14"/>
              </w:rPr>
              <w:t xml:space="preserve"> </w:t>
            </w:r>
            <w:r w:rsidRPr="00FC44EB">
              <w:rPr>
                <w:sz w:val="14"/>
                <w:szCs w:val="14"/>
              </w:rPr>
              <w:t xml:space="preserve">after </w:t>
            </w:r>
            <w:r w:rsidR="00BC3387" w:rsidRPr="00FC44EB">
              <w:rPr>
                <w:sz w:val="14"/>
                <w:szCs w:val="14"/>
              </w:rPr>
              <w:t xml:space="preserve">a </w:t>
            </w:r>
            <w:r w:rsidRPr="00FC44EB">
              <w:rPr>
                <w:sz w:val="14"/>
                <w:szCs w:val="14"/>
              </w:rPr>
              <w:t>positive triage test</w:t>
            </w:r>
            <w:r w:rsidR="001B5F9A" w:rsidRPr="00FC44EB">
              <w:rPr>
                <w:sz w:val="14"/>
                <w:szCs w:val="14"/>
              </w:rPr>
              <w:t>.</w:t>
            </w:r>
            <w:r w:rsidR="00BC3387" w:rsidRPr="00FC44EB">
              <w:rPr>
                <w:sz w:val="14"/>
                <w:szCs w:val="14"/>
              </w:rPr>
              <w:t xml:space="preserve"> </w:t>
            </w:r>
            <w:r w:rsidR="001B5F9A" w:rsidRPr="00FC44EB">
              <w:rPr>
                <w:sz w:val="14"/>
                <w:szCs w:val="14"/>
              </w:rPr>
              <w:t>In this case</w:t>
            </w:r>
            <w:r w:rsidR="007D55EB">
              <w:rPr>
                <w:sz w:val="14"/>
                <w:szCs w:val="14"/>
              </w:rPr>
              <w:t>,</w:t>
            </w:r>
            <w:r w:rsidR="00BC3387" w:rsidRPr="00FC44EB">
              <w:rPr>
                <w:sz w:val="14"/>
                <w:szCs w:val="14"/>
              </w:rPr>
              <w:t xml:space="preserve"> </w:t>
            </w:r>
            <w:r w:rsidRPr="00FC44EB">
              <w:rPr>
                <w:sz w:val="14"/>
                <w:szCs w:val="14"/>
              </w:rPr>
              <w:t>additional sample collection</w:t>
            </w:r>
            <w:r w:rsidR="001B5F9A" w:rsidRPr="00FC44EB">
              <w:rPr>
                <w:sz w:val="14"/>
                <w:szCs w:val="14"/>
              </w:rPr>
              <w:t xml:space="preserve"> would be </w:t>
            </w:r>
            <w:r w:rsidR="00BC3387" w:rsidRPr="00FC44EB">
              <w:rPr>
                <w:sz w:val="14"/>
                <w:szCs w:val="14"/>
              </w:rPr>
              <w:t>required</w:t>
            </w:r>
            <w:r w:rsidRPr="00FC44EB">
              <w:rPr>
                <w:sz w:val="14"/>
                <w:szCs w:val="14"/>
              </w:rPr>
              <w:t xml:space="preserve"> if the confirmatory test is a send</w:t>
            </w:r>
            <w:r w:rsidR="0057511C">
              <w:rPr>
                <w:sz w:val="14"/>
                <w:szCs w:val="14"/>
              </w:rPr>
              <w:t>-</w:t>
            </w:r>
            <w:r w:rsidRPr="00FC44EB">
              <w:rPr>
                <w:sz w:val="14"/>
                <w:szCs w:val="14"/>
              </w:rPr>
              <w:t xml:space="preserve">out.  </w:t>
            </w:r>
          </w:p>
          <w:p w14:paraId="18BF1548" w14:textId="211EC181" w:rsidR="00BC3387" w:rsidRPr="00FC44EB" w:rsidRDefault="004A1945"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Where confirmatory testing is not immediately available,</w:t>
            </w:r>
            <w:r w:rsidRPr="00FC44EB">
              <w:rPr>
                <w:sz w:val="14"/>
                <w:szCs w:val="14"/>
              </w:rPr>
              <w:t xml:space="preserve"> </w:t>
            </w:r>
            <w:r>
              <w:rPr>
                <w:sz w:val="14"/>
                <w:szCs w:val="14"/>
              </w:rPr>
              <w:t>t</w:t>
            </w:r>
            <w:r w:rsidR="00BC3387" w:rsidRPr="00FC44EB">
              <w:rPr>
                <w:sz w:val="14"/>
                <w:szCs w:val="14"/>
              </w:rPr>
              <w:t xml:space="preserve">he potential for loss to </w:t>
            </w:r>
            <w:r w:rsidR="00A92FEC" w:rsidRPr="00FC44EB">
              <w:rPr>
                <w:sz w:val="14"/>
                <w:szCs w:val="14"/>
              </w:rPr>
              <w:t>follow up</w:t>
            </w:r>
            <w:r w:rsidR="00BC3387" w:rsidRPr="00FC44EB">
              <w:rPr>
                <w:sz w:val="14"/>
                <w:szCs w:val="14"/>
              </w:rPr>
              <w:t xml:space="preserve"> must be considered in the case of the Group 2 sites</w:t>
            </w:r>
          </w:p>
          <w:p w14:paraId="1CA0A7C6" w14:textId="4AA84A5A" w:rsidR="000221AB" w:rsidRPr="00FC44EB" w:rsidRDefault="008D7DC9" w:rsidP="008032B3">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On site t</w:t>
            </w:r>
            <w:r w:rsidR="00734ECD" w:rsidRPr="00FC44EB">
              <w:rPr>
                <w:sz w:val="14"/>
                <w:szCs w:val="14"/>
              </w:rPr>
              <w:t xml:space="preserve">urnaround of results &lt;2 hours </w:t>
            </w:r>
            <w:r w:rsidR="0057511C" w:rsidRPr="00FC44EB">
              <w:rPr>
                <w:sz w:val="14"/>
                <w:szCs w:val="14"/>
              </w:rPr>
              <w:t>are</w:t>
            </w:r>
            <w:r w:rsidR="00734ECD" w:rsidRPr="00FC44EB">
              <w:rPr>
                <w:sz w:val="14"/>
                <w:szCs w:val="14"/>
              </w:rPr>
              <w:t xml:space="preserve"> preferred</w:t>
            </w:r>
            <w:r w:rsidR="008032B3" w:rsidRPr="00FC44EB">
              <w:rPr>
                <w:sz w:val="14"/>
                <w:szCs w:val="14"/>
              </w:rPr>
              <w:t>, but sooner would be bette</w:t>
            </w:r>
            <w:r w:rsidR="000221AB" w:rsidRPr="00FC44EB">
              <w:rPr>
                <w:sz w:val="14"/>
                <w:szCs w:val="14"/>
              </w:rPr>
              <w:t>r</w:t>
            </w:r>
          </w:p>
          <w:p w14:paraId="4761EB43" w14:textId="7A34F755" w:rsidR="00734A94" w:rsidRPr="00FC44EB" w:rsidRDefault="000221AB" w:rsidP="000221A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If sen</w:t>
            </w:r>
            <w:r w:rsidR="00D83C02" w:rsidRPr="00FC44EB">
              <w:rPr>
                <w:sz w:val="14"/>
                <w:szCs w:val="14"/>
              </w:rPr>
              <w:t>d-</w:t>
            </w:r>
            <w:r w:rsidRPr="00FC44EB">
              <w:rPr>
                <w:sz w:val="14"/>
                <w:szCs w:val="14"/>
              </w:rPr>
              <w:t xml:space="preserve">out testing is required, delayed delivery of test </w:t>
            </w:r>
            <w:r w:rsidR="00BC3387" w:rsidRPr="00FC44EB">
              <w:rPr>
                <w:sz w:val="14"/>
                <w:szCs w:val="14"/>
              </w:rPr>
              <w:t>results (</w:t>
            </w:r>
            <w:r w:rsidRPr="00FC44EB">
              <w:rPr>
                <w:sz w:val="14"/>
                <w:szCs w:val="14"/>
              </w:rPr>
              <w:t>several days) could result in unnecessary isolation</w:t>
            </w:r>
            <w:r w:rsidR="00DB3A0D" w:rsidRPr="00FC44EB">
              <w:rPr>
                <w:sz w:val="14"/>
                <w:szCs w:val="14"/>
              </w:rPr>
              <w:t>.</w:t>
            </w:r>
          </w:p>
          <w:p w14:paraId="05B69534" w14:textId="7A1C9D71" w:rsidR="00734A94" w:rsidRPr="00FC44EB" w:rsidRDefault="00734A94" w:rsidP="00734A94">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It is preferable that the test be CLIA-waivable for use by minimally trained users in decentralized testing settings, or CLIA moderately</w:t>
            </w:r>
            <w:r w:rsidR="00D83C02" w:rsidRPr="00FC44EB">
              <w:rPr>
                <w:sz w:val="14"/>
                <w:szCs w:val="14"/>
              </w:rPr>
              <w:t xml:space="preserve"> </w:t>
            </w:r>
            <w:r w:rsidRPr="00FC44EB">
              <w:rPr>
                <w:sz w:val="14"/>
                <w:szCs w:val="14"/>
              </w:rPr>
              <w:t>complex for use by laboratorians in small laboratories</w:t>
            </w:r>
            <w:r w:rsidR="00DB3A0D" w:rsidRPr="00FC44EB">
              <w:rPr>
                <w:sz w:val="14"/>
                <w:szCs w:val="14"/>
              </w:rPr>
              <w:t>.</w:t>
            </w:r>
            <w:r w:rsidR="004A1945">
              <w:rPr>
                <w:sz w:val="14"/>
                <w:szCs w:val="14"/>
              </w:rPr>
              <w:t xml:space="preserve"> However, shipment to large central labs is acceptable in some circumstance, such as Group 1 sites</w:t>
            </w:r>
            <w:r w:rsidR="000446B4">
              <w:rPr>
                <w:sz w:val="14"/>
                <w:szCs w:val="14"/>
              </w:rPr>
              <w:t xml:space="preserve">. </w:t>
            </w:r>
            <w:r w:rsidRPr="00FC44EB">
              <w:rPr>
                <w:sz w:val="14"/>
                <w:szCs w:val="14"/>
              </w:rPr>
              <w:t xml:space="preserve"> </w:t>
            </w:r>
          </w:p>
          <w:p w14:paraId="0596C501" w14:textId="6F06F3C4" w:rsidR="00734ECD" w:rsidRPr="00FC44EB" w:rsidRDefault="00734ECD"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If the triage testing is performed in settings with minimally trained personnel, careful thought should be given as to whether the confirmatory test </w:t>
            </w:r>
            <w:r w:rsidR="0057511C">
              <w:rPr>
                <w:sz w:val="14"/>
                <w:szCs w:val="14"/>
              </w:rPr>
              <w:t>c</w:t>
            </w:r>
            <w:r w:rsidRPr="00FC44EB">
              <w:rPr>
                <w:sz w:val="14"/>
                <w:szCs w:val="14"/>
              </w:rPr>
              <w:t xml:space="preserve">ould require a higher level of training or </w:t>
            </w:r>
            <w:r w:rsidR="0057511C">
              <w:rPr>
                <w:sz w:val="14"/>
                <w:szCs w:val="14"/>
              </w:rPr>
              <w:t>c</w:t>
            </w:r>
            <w:r w:rsidRPr="00FC44EB">
              <w:rPr>
                <w:sz w:val="14"/>
                <w:szCs w:val="14"/>
              </w:rPr>
              <w:t>ould be designed to accommodate sites with only minimally trained personnel available</w:t>
            </w:r>
            <w:r w:rsidR="00DB3A0D" w:rsidRPr="00FC44EB">
              <w:rPr>
                <w:sz w:val="14"/>
                <w:szCs w:val="14"/>
              </w:rPr>
              <w:t>.</w:t>
            </w:r>
          </w:p>
          <w:p w14:paraId="4EE38854" w14:textId="78C2A368" w:rsidR="00734ECD" w:rsidRPr="00FC44EB" w:rsidRDefault="00734ECD"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Sensitivity and specificity targets are less</w:t>
            </w:r>
            <w:r w:rsidR="00D83C02" w:rsidRPr="00FC44EB">
              <w:rPr>
                <w:sz w:val="14"/>
                <w:szCs w:val="14"/>
              </w:rPr>
              <w:t xml:space="preserve"> stringent</w:t>
            </w:r>
            <w:r w:rsidRPr="00FC44EB">
              <w:rPr>
                <w:sz w:val="14"/>
                <w:szCs w:val="14"/>
              </w:rPr>
              <w:t xml:space="preserve"> than for a diagnostic test</w:t>
            </w:r>
            <w:r w:rsidR="00D83C02" w:rsidRPr="00FC44EB">
              <w:rPr>
                <w:sz w:val="14"/>
                <w:szCs w:val="14"/>
              </w:rPr>
              <w:t>,</w:t>
            </w:r>
            <w:r w:rsidRPr="00FC44EB">
              <w:rPr>
                <w:sz w:val="14"/>
                <w:szCs w:val="14"/>
              </w:rPr>
              <w:t xml:space="preserve"> since after triage testing the population </w:t>
            </w:r>
            <w:r w:rsidR="00734A94" w:rsidRPr="00FC44EB">
              <w:rPr>
                <w:sz w:val="14"/>
                <w:szCs w:val="14"/>
              </w:rPr>
              <w:t xml:space="preserve">should </w:t>
            </w:r>
            <w:r w:rsidRPr="00FC44EB">
              <w:rPr>
                <w:sz w:val="14"/>
                <w:szCs w:val="14"/>
              </w:rPr>
              <w:t xml:space="preserve">be greatly enriched for infected persons. </w:t>
            </w:r>
            <w:r w:rsidR="000446B4">
              <w:rPr>
                <w:sz w:val="14"/>
                <w:szCs w:val="14"/>
              </w:rPr>
              <w:t>Existing diagnostic tests should prove adequate</w:t>
            </w:r>
            <w:r w:rsidR="0057511C">
              <w:rPr>
                <w:sz w:val="14"/>
                <w:szCs w:val="14"/>
              </w:rPr>
              <w:t>.</w:t>
            </w:r>
            <w:r w:rsidR="000446B4">
              <w:rPr>
                <w:sz w:val="14"/>
                <w:szCs w:val="14"/>
              </w:rPr>
              <w:t xml:space="preserve"> </w:t>
            </w:r>
          </w:p>
          <w:p w14:paraId="4D94DE31" w14:textId="2271E2AB" w:rsidR="00734ECD" w:rsidRPr="00FC44EB" w:rsidRDefault="00734ECD" w:rsidP="00CD06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In instances where the triage test has high enough performance, or when a diagnostic test is used for triage, the confirmatory test may not be required</w:t>
            </w:r>
            <w:r w:rsidR="00DB3A0D" w:rsidRPr="00FC44EB">
              <w:rPr>
                <w:sz w:val="14"/>
                <w:szCs w:val="14"/>
              </w:rPr>
              <w:t>.</w:t>
            </w:r>
            <w:r w:rsidRPr="00FC44EB">
              <w:rPr>
                <w:sz w:val="14"/>
                <w:szCs w:val="14"/>
              </w:rPr>
              <w:t xml:space="preserve"> </w:t>
            </w:r>
          </w:p>
          <w:p w14:paraId="1AFD64ED" w14:textId="77777777" w:rsidR="00573BFC" w:rsidRPr="00FC44EB" w:rsidRDefault="00AF7AFC" w:rsidP="00573BFC">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Price</w:t>
            </w:r>
            <w:r w:rsidR="00734ECD" w:rsidRPr="00FC44EB">
              <w:rPr>
                <w:sz w:val="14"/>
                <w:szCs w:val="14"/>
              </w:rPr>
              <w:t xml:space="preserve"> targets</w:t>
            </w:r>
            <w:r w:rsidR="00010E3A">
              <w:rPr>
                <w:sz w:val="14"/>
                <w:szCs w:val="14"/>
              </w:rPr>
              <w:t>*</w:t>
            </w:r>
            <w:r w:rsidR="00734ECD" w:rsidRPr="00FC44EB">
              <w:rPr>
                <w:sz w:val="14"/>
                <w:szCs w:val="14"/>
              </w:rPr>
              <w:t xml:space="preserve"> are less stringent here where pricing could be up to $100 USD; lower in LMICs</w:t>
            </w:r>
            <w:r w:rsidR="00056B68" w:rsidRPr="00FC44EB">
              <w:rPr>
                <w:sz w:val="14"/>
                <w:szCs w:val="14"/>
              </w:rPr>
              <w:t xml:space="preserve">.  </w:t>
            </w:r>
            <w:r w:rsidR="00573BFC">
              <w:rPr>
                <w:sz w:val="14"/>
                <w:szCs w:val="14"/>
              </w:rPr>
              <w:t>Note that current reimbursement in the US ranges from $51 - $100 for non-CDC assays.</w:t>
            </w:r>
          </w:p>
          <w:p w14:paraId="7251874D" w14:textId="27CD10FB" w:rsidR="00734ECD" w:rsidRPr="00EF4222" w:rsidRDefault="00734ECD" w:rsidP="00EF4222">
            <w:pPr>
              <w:cnfStyle w:val="000000000000" w:firstRow="0" w:lastRow="0" w:firstColumn="0" w:lastColumn="0" w:oddVBand="0" w:evenVBand="0" w:oddHBand="0" w:evenHBand="0" w:firstRowFirstColumn="0" w:firstRowLastColumn="0" w:lastRowFirstColumn="0" w:lastRowLastColumn="0"/>
              <w:rPr>
                <w:sz w:val="14"/>
                <w:szCs w:val="14"/>
              </w:rPr>
            </w:pPr>
          </w:p>
          <w:p w14:paraId="12B77C94" w14:textId="377082AA" w:rsidR="0039020B" w:rsidRPr="00FC44EB" w:rsidRDefault="0039020B" w:rsidP="0039020B">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r>
      <w:tr w:rsidR="003D70C4" w:rsidRPr="00AD4071" w14:paraId="34551974" w14:textId="77777777" w:rsidTr="003D70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tcPr>
          <w:p w14:paraId="46000F3D" w14:textId="1675AC0A" w:rsidR="00A92E4B" w:rsidRPr="00FC44EB" w:rsidRDefault="00BA1B7B" w:rsidP="00940A44">
            <w:pPr>
              <w:pStyle w:val="ListParagraph"/>
              <w:numPr>
                <w:ilvl w:val="0"/>
                <w:numId w:val="7"/>
              </w:numPr>
              <w:ind w:left="155" w:hanging="155"/>
              <w:rPr>
                <w:sz w:val="14"/>
                <w:szCs w:val="14"/>
              </w:rPr>
            </w:pPr>
            <w:bookmarkStart w:id="6" w:name="_Hlk34911991"/>
            <w:r w:rsidRPr="00FC44EB">
              <w:rPr>
                <w:sz w:val="14"/>
                <w:szCs w:val="14"/>
              </w:rPr>
              <w:lastRenderedPageBreak/>
              <w:t xml:space="preserve">Diagnosis of symptomatic individuals in endemic </w:t>
            </w:r>
            <w:r w:rsidR="00056B68" w:rsidRPr="00FC44EB">
              <w:rPr>
                <w:sz w:val="14"/>
                <w:szCs w:val="14"/>
              </w:rPr>
              <w:t xml:space="preserve">or epidemic </w:t>
            </w:r>
            <w:r w:rsidRPr="00FC44EB">
              <w:rPr>
                <w:sz w:val="14"/>
                <w:szCs w:val="14"/>
              </w:rPr>
              <w:t>settings</w:t>
            </w:r>
            <w:bookmarkEnd w:id="6"/>
          </w:p>
        </w:tc>
        <w:tc>
          <w:tcPr>
            <w:tcW w:w="974" w:type="pct"/>
          </w:tcPr>
          <w:p w14:paraId="14D5758F" w14:textId="377CA86B" w:rsidR="00A92E4B" w:rsidRPr="00FC44EB" w:rsidRDefault="00B75222"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The intended use</w:t>
            </w:r>
            <w:r w:rsidR="00734ECD" w:rsidRPr="00FC44EB">
              <w:rPr>
                <w:sz w:val="14"/>
                <w:szCs w:val="14"/>
              </w:rPr>
              <w:t xml:space="preserve"> is to </w:t>
            </w:r>
            <w:r w:rsidR="00734ECD" w:rsidRPr="00EF4222">
              <w:rPr>
                <w:sz w:val="14"/>
                <w:szCs w:val="14"/>
              </w:rPr>
              <w:t>diagnose</w:t>
            </w:r>
            <w:r w:rsidR="00734ECD" w:rsidRPr="00FC44EB">
              <w:rPr>
                <w:sz w:val="14"/>
                <w:szCs w:val="14"/>
              </w:rPr>
              <w:t xml:space="preserve"> a symptomatic individual with a SARS Co</w:t>
            </w:r>
            <w:r w:rsidR="00734A94" w:rsidRPr="00FC44EB">
              <w:rPr>
                <w:sz w:val="14"/>
                <w:szCs w:val="14"/>
              </w:rPr>
              <w:t>V</w:t>
            </w:r>
            <w:r w:rsidR="00734ECD" w:rsidRPr="00FC44EB">
              <w:rPr>
                <w:sz w:val="14"/>
                <w:szCs w:val="14"/>
              </w:rPr>
              <w:t>-2 infection in an</w:t>
            </w:r>
            <w:r w:rsidR="00056B68" w:rsidRPr="00FC44EB">
              <w:rPr>
                <w:sz w:val="14"/>
                <w:szCs w:val="14"/>
              </w:rPr>
              <w:t xml:space="preserve"> epidemic or</w:t>
            </w:r>
            <w:r w:rsidR="00734ECD" w:rsidRPr="00FC44EB">
              <w:rPr>
                <w:sz w:val="14"/>
                <w:szCs w:val="14"/>
              </w:rPr>
              <w:t xml:space="preserve"> endemic setting</w:t>
            </w:r>
          </w:p>
          <w:p w14:paraId="309F91BE" w14:textId="77777777" w:rsidR="004A7EA1" w:rsidRPr="00FC44EB" w:rsidRDefault="004A7EA1" w:rsidP="004A7EA1">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For use at the first healthcare site a patient or their contacts would enter to receive </w:t>
            </w:r>
            <w:r>
              <w:rPr>
                <w:sz w:val="14"/>
                <w:szCs w:val="14"/>
              </w:rPr>
              <w:t xml:space="preserve">diagnosis and </w:t>
            </w:r>
            <w:r w:rsidRPr="00FC44EB">
              <w:rPr>
                <w:sz w:val="14"/>
                <w:szCs w:val="14"/>
              </w:rPr>
              <w:t>treatment</w:t>
            </w:r>
          </w:p>
          <w:p w14:paraId="5D0A99A0" w14:textId="1E246D29" w:rsidR="00734ECD" w:rsidRDefault="00E2554E" w:rsidP="004B78F0">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Sites include </w:t>
            </w:r>
            <w:r w:rsidR="00285126" w:rsidRPr="00FC44EB">
              <w:rPr>
                <w:sz w:val="14"/>
                <w:szCs w:val="14"/>
              </w:rPr>
              <w:t>primary healthcare facilities or where individuals are referred for advanced care</w:t>
            </w:r>
            <w:r w:rsidRPr="00FC44EB">
              <w:rPr>
                <w:sz w:val="14"/>
                <w:szCs w:val="14"/>
              </w:rPr>
              <w:t xml:space="preserve">, such as emergency rooms, urgent care clinics, </w:t>
            </w:r>
            <w:r w:rsidR="00285126">
              <w:rPr>
                <w:sz w:val="14"/>
                <w:szCs w:val="14"/>
              </w:rPr>
              <w:t xml:space="preserve">and </w:t>
            </w:r>
            <w:r w:rsidRPr="00FC44EB">
              <w:rPr>
                <w:sz w:val="14"/>
                <w:szCs w:val="14"/>
              </w:rPr>
              <w:t xml:space="preserve">hospitals </w:t>
            </w:r>
          </w:p>
          <w:p w14:paraId="0B55665D" w14:textId="599240C7" w:rsidR="004A7EA1" w:rsidRPr="00EF4222" w:rsidRDefault="004A7EA1" w:rsidP="004A7EA1">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A positive test for SARS-CoV-2 </w:t>
            </w:r>
            <w:r>
              <w:rPr>
                <w:sz w:val="14"/>
                <w:szCs w:val="14"/>
              </w:rPr>
              <w:t xml:space="preserve">virus </w:t>
            </w:r>
            <w:r w:rsidRPr="00FC44EB">
              <w:rPr>
                <w:sz w:val="14"/>
                <w:szCs w:val="14"/>
              </w:rPr>
              <w:t xml:space="preserve">or other epidemic-associated pathogens could trigger extra precautions, such as </w:t>
            </w:r>
            <w:r w:rsidR="00285126">
              <w:rPr>
                <w:sz w:val="14"/>
                <w:szCs w:val="14"/>
              </w:rPr>
              <w:t>isolation</w:t>
            </w:r>
            <w:r w:rsidRPr="00FC44EB">
              <w:rPr>
                <w:sz w:val="14"/>
                <w:szCs w:val="14"/>
              </w:rPr>
              <w:t>, confirmatory testing, additional PPE, and contact follow-up, including healthcare staff</w:t>
            </w:r>
          </w:p>
        </w:tc>
        <w:tc>
          <w:tcPr>
            <w:tcW w:w="974" w:type="pct"/>
          </w:tcPr>
          <w:p w14:paraId="6644B109" w14:textId="5E03BAB3" w:rsidR="00A92E4B" w:rsidRPr="00FC44EB" w:rsidRDefault="00B54D8C" w:rsidP="007B32AE">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Same as </w:t>
            </w:r>
            <w:r w:rsidR="000446B4">
              <w:rPr>
                <w:sz w:val="14"/>
                <w:szCs w:val="14"/>
              </w:rPr>
              <w:t>Use Case 4</w:t>
            </w:r>
          </w:p>
        </w:tc>
        <w:tc>
          <w:tcPr>
            <w:tcW w:w="812" w:type="pct"/>
          </w:tcPr>
          <w:p w14:paraId="1B5215E3" w14:textId="501E50D9" w:rsidR="00A92E4B" w:rsidRPr="00FC44EB" w:rsidRDefault="00B54D8C" w:rsidP="00A750F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Same as</w:t>
            </w:r>
            <w:r w:rsidR="00734A94" w:rsidRPr="00FC44EB">
              <w:rPr>
                <w:sz w:val="14"/>
                <w:szCs w:val="14"/>
              </w:rPr>
              <w:t xml:space="preserve"> Use Case </w:t>
            </w:r>
            <w:r w:rsidR="000446B4">
              <w:rPr>
                <w:sz w:val="14"/>
                <w:szCs w:val="14"/>
              </w:rPr>
              <w:t>4</w:t>
            </w:r>
            <w:r w:rsidR="00734A94" w:rsidRPr="00FC44EB">
              <w:rPr>
                <w:sz w:val="14"/>
                <w:szCs w:val="14"/>
              </w:rPr>
              <w:t>, except for self-testing</w:t>
            </w:r>
            <w:r w:rsidR="00D83C02" w:rsidRPr="00FC44EB">
              <w:rPr>
                <w:sz w:val="14"/>
                <w:szCs w:val="14"/>
              </w:rPr>
              <w:t>.</w:t>
            </w:r>
          </w:p>
          <w:p w14:paraId="74488966" w14:textId="6CE8F931" w:rsidR="00840FE8" w:rsidRPr="00FC44EB" w:rsidRDefault="00CA39FF" w:rsidP="00285126">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It </w:t>
            </w:r>
            <w:r w:rsidR="00285126">
              <w:rPr>
                <w:sz w:val="14"/>
                <w:szCs w:val="14"/>
              </w:rPr>
              <w:t>is</w:t>
            </w:r>
            <w:r w:rsidRPr="00FC44EB">
              <w:rPr>
                <w:sz w:val="14"/>
                <w:szCs w:val="14"/>
              </w:rPr>
              <w:t xml:space="preserve"> useful</w:t>
            </w:r>
            <w:r w:rsidRPr="00FC44EB" w:rsidDel="00BC3387">
              <w:rPr>
                <w:sz w:val="14"/>
                <w:szCs w:val="14"/>
              </w:rPr>
              <w:t xml:space="preserve"> </w:t>
            </w:r>
            <w:r w:rsidRPr="00FC44EB">
              <w:rPr>
                <w:sz w:val="14"/>
                <w:szCs w:val="14"/>
              </w:rPr>
              <w:t>to have self</w:t>
            </w:r>
            <w:r w:rsidR="00840FE8" w:rsidRPr="00FC44EB">
              <w:rPr>
                <w:sz w:val="14"/>
                <w:szCs w:val="14"/>
              </w:rPr>
              <w:t xml:space="preserve">-collection of samples with either </w:t>
            </w:r>
            <w:r w:rsidR="00686429" w:rsidRPr="00FC44EB">
              <w:rPr>
                <w:sz w:val="14"/>
                <w:szCs w:val="14"/>
              </w:rPr>
              <w:t>courier</w:t>
            </w:r>
            <w:r w:rsidR="00840FE8" w:rsidRPr="00FC44EB">
              <w:rPr>
                <w:sz w:val="14"/>
                <w:szCs w:val="14"/>
              </w:rPr>
              <w:t xml:space="preserve"> pick up or shipment to testing sites for testing</w:t>
            </w:r>
            <w:r w:rsidR="0057511C">
              <w:rPr>
                <w:sz w:val="14"/>
                <w:szCs w:val="14"/>
              </w:rPr>
              <w:t xml:space="preserve">. </w:t>
            </w:r>
          </w:p>
        </w:tc>
        <w:tc>
          <w:tcPr>
            <w:tcW w:w="1754" w:type="pct"/>
          </w:tcPr>
          <w:p w14:paraId="7AE63F37" w14:textId="3200D750" w:rsidR="000446B4" w:rsidRDefault="000446B4" w:rsidP="000446B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For this use case, RNA tests are the most likely to be used (PCR, isothermal amp, NGS).  </w:t>
            </w:r>
          </w:p>
          <w:p w14:paraId="6550DE58" w14:textId="63BD4560" w:rsidR="0057511C" w:rsidRDefault="0057511C" w:rsidP="000446B4">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Antigen tests are becoming alternatives to RNA tests, but in special circumstances due to performance limitations. For instance, recent antigen tests receiving FDA EUA have limitations to the </w:t>
            </w:r>
            <w:r w:rsidR="00285126">
              <w:rPr>
                <w:sz w:val="14"/>
                <w:szCs w:val="14"/>
              </w:rPr>
              <w:t>number of days</w:t>
            </w:r>
            <w:r>
              <w:rPr>
                <w:sz w:val="14"/>
                <w:szCs w:val="14"/>
              </w:rPr>
              <w:t xml:space="preserve"> after the onset of symptoms (5-12 days)</w:t>
            </w:r>
            <w:r w:rsidR="00285126">
              <w:rPr>
                <w:sz w:val="14"/>
                <w:szCs w:val="14"/>
              </w:rPr>
              <w:t xml:space="preserve"> when individuals would be tested</w:t>
            </w:r>
            <w:r>
              <w:rPr>
                <w:sz w:val="14"/>
                <w:szCs w:val="14"/>
              </w:rPr>
              <w:t xml:space="preserve">. Thus far, non-symptomatic testing has not been </w:t>
            </w:r>
            <w:r w:rsidR="007B4964">
              <w:rPr>
                <w:sz w:val="14"/>
                <w:szCs w:val="14"/>
              </w:rPr>
              <w:t>approved, but several companies are pursuing the claim extension</w:t>
            </w:r>
            <w:r>
              <w:rPr>
                <w:sz w:val="14"/>
                <w:szCs w:val="14"/>
              </w:rPr>
              <w:t xml:space="preserve">. </w:t>
            </w:r>
          </w:p>
          <w:p w14:paraId="7D7C5045" w14:textId="627F9157" w:rsidR="00057D60" w:rsidRPr="00FC44EB" w:rsidRDefault="00E2554E" w:rsidP="00057D60">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Sensitivity and </w:t>
            </w:r>
            <w:r w:rsidR="007B4964" w:rsidRPr="00FC44EB">
              <w:rPr>
                <w:sz w:val="14"/>
                <w:szCs w:val="14"/>
              </w:rPr>
              <w:t>specificity need</w:t>
            </w:r>
            <w:r w:rsidRPr="00FC44EB">
              <w:rPr>
                <w:sz w:val="14"/>
                <w:szCs w:val="14"/>
              </w:rPr>
              <w:t xml:space="preserve"> to be quite high (&gt; 99%</w:t>
            </w:r>
            <w:r w:rsidR="007B4964">
              <w:rPr>
                <w:sz w:val="14"/>
                <w:szCs w:val="14"/>
              </w:rPr>
              <w:t xml:space="preserve">). </w:t>
            </w:r>
            <w:r w:rsidRPr="00FC44EB">
              <w:rPr>
                <w:sz w:val="14"/>
                <w:szCs w:val="14"/>
              </w:rPr>
              <w:t xml:space="preserve">A false negative result, particularly in </w:t>
            </w:r>
            <w:r w:rsidR="004B3928">
              <w:rPr>
                <w:sz w:val="14"/>
                <w:szCs w:val="14"/>
              </w:rPr>
              <w:t xml:space="preserve">at-risk populations (e.g., </w:t>
            </w:r>
            <w:r w:rsidRPr="00FC44EB">
              <w:rPr>
                <w:sz w:val="14"/>
                <w:szCs w:val="14"/>
              </w:rPr>
              <w:t>elderly or immunocompromised individuals</w:t>
            </w:r>
            <w:r w:rsidR="004B3928">
              <w:rPr>
                <w:sz w:val="14"/>
                <w:szCs w:val="14"/>
              </w:rPr>
              <w:t>)</w:t>
            </w:r>
            <w:r w:rsidRPr="00FC44EB">
              <w:rPr>
                <w:sz w:val="14"/>
                <w:szCs w:val="14"/>
              </w:rPr>
              <w:t xml:space="preserve">, could result in a high morbidity and mortality rate, while also increasing the risk </w:t>
            </w:r>
            <w:r w:rsidR="0015374E" w:rsidRPr="00FC44EB">
              <w:rPr>
                <w:sz w:val="14"/>
                <w:szCs w:val="14"/>
              </w:rPr>
              <w:t xml:space="preserve">to medical personnel and </w:t>
            </w:r>
            <w:r w:rsidR="00D83C02" w:rsidRPr="00FC44EB">
              <w:rPr>
                <w:sz w:val="14"/>
                <w:szCs w:val="14"/>
              </w:rPr>
              <w:t>increasing</w:t>
            </w:r>
            <w:r w:rsidR="004B3928">
              <w:rPr>
                <w:sz w:val="14"/>
                <w:szCs w:val="14"/>
              </w:rPr>
              <w:t xml:space="preserve"> </w:t>
            </w:r>
            <w:r w:rsidR="000446B4">
              <w:rPr>
                <w:sz w:val="14"/>
                <w:szCs w:val="14"/>
              </w:rPr>
              <w:t>SARS-CoV-2</w:t>
            </w:r>
            <w:r w:rsidR="00D83C02" w:rsidRPr="00FC44EB">
              <w:rPr>
                <w:sz w:val="14"/>
                <w:szCs w:val="14"/>
              </w:rPr>
              <w:t xml:space="preserve"> </w:t>
            </w:r>
            <w:r w:rsidRPr="00FC44EB">
              <w:rPr>
                <w:sz w:val="14"/>
                <w:szCs w:val="14"/>
              </w:rPr>
              <w:t>transmission.</w:t>
            </w:r>
          </w:p>
          <w:p w14:paraId="3756EA16" w14:textId="3D93B9B6" w:rsidR="002D2B60" w:rsidRPr="00FC44EB" w:rsidRDefault="00057D60" w:rsidP="00057D60">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rFonts w:cs="Times New Roman (Body CS)"/>
                <w:color w:val="000000"/>
                <w:sz w:val="14"/>
                <w:szCs w:val="14"/>
              </w:rPr>
              <w:t>The performance of a confirmation test can be far below that of a diagnostic test because after triag</w:t>
            </w:r>
            <w:r w:rsidR="00A86D8C">
              <w:rPr>
                <w:rFonts w:cs="Times New Roman (Body CS)"/>
                <w:color w:val="000000"/>
                <w:sz w:val="14"/>
                <w:szCs w:val="14"/>
              </w:rPr>
              <w:t>e</w:t>
            </w:r>
            <w:r w:rsidRPr="00FC44EB">
              <w:rPr>
                <w:rFonts w:cs="Times New Roman (Body CS)"/>
                <w:color w:val="000000"/>
                <w:sz w:val="14"/>
                <w:szCs w:val="14"/>
              </w:rPr>
              <w:t xml:space="preserve"> test</w:t>
            </w:r>
            <w:r w:rsidR="007B4964">
              <w:rPr>
                <w:rFonts w:cs="Times New Roman (Body CS)"/>
                <w:color w:val="000000"/>
                <w:sz w:val="14"/>
                <w:szCs w:val="14"/>
              </w:rPr>
              <w:t>ing</w:t>
            </w:r>
            <w:r w:rsidRPr="00FC44EB">
              <w:rPr>
                <w:rFonts w:cs="Times New Roman (Body CS)"/>
                <w:color w:val="000000"/>
                <w:sz w:val="14"/>
                <w:szCs w:val="14"/>
              </w:rPr>
              <w:t xml:space="preserve"> the population will be greatly enriched for positive cases prior to confirmation. In contrast, the diagnostic test is used in a much broader population based on symptoms only. For instance, in a low prevalence setting of 0.1% the diagnostic test with a specificity of 99% would yield 10 false positive results to 1 true positive result. On the other hand, if the same population had been enriched by 100-fold during triage testing, a confirmation test with a 99% specificity </w:t>
            </w:r>
            <w:r w:rsidR="007B4964">
              <w:rPr>
                <w:rFonts w:cs="Times New Roman (Body CS)"/>
                <w:color w:val="000000"/>
                <w:sz w:val="14"/>
                <w:szCs w:val="14"/>
              </w:rPr>
              <w:t>w</w:t>
            </w:r>
            <w:r w:rsidRPr="00FC44EB">
              <w:rPr>
                <w:rFonts w:cs="Times New Roman (Body CS)"/>
                <w:color w:val="000000"/>
                <w:sz w:val="14"/>
                <w:szCs w:val="14"/>
              </w:rPr>
              <w:t>ould be acceptable.</w:t>
            </w:r>
            <w:r w:rsidRPr="00FC44EB">
              <w:rPr>
                <w:rFonts w:ascii="Helvetica" w:hAnsi="Helvetica"/>
                <w:color w:val="000000"/>
                <w:sz w:val="14"/>
                <w:szCs w:val="14"/>
              </w:rPr>
              <w:t> </w:t>
            </w:r>
          </w:p>
          <w:p w14:paraId="73D949D5" w14:textId="4015DEAF" w:rsidR="00E2554E" w:rsidRPr="00FC44EB" w:rsidRDefault="00E2554E"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False positive</w:t>
            </w:r>
            <w:r w:rsidR="0057511C">
              <w:rPr>
                <w:sz w:val="14"/>
                <w:szCs w:val="14"/>
              </w:rPr>
              <w:t xml:space="preserve"> results </w:t>
            </w:r>
            <w:r w:rsidRPr="00FC44EB">
              <w:rPr>
                <w:sz w:val="14"/>
                <w:szCs w:val="14"/>
              </w:rPr>
              <w:t xml:space="preserve">would lead to unnecessary and costly </w:t>
            </w:r>
            <w:r w:rsidR="007B4964">
              <w:rPr>
                <w:sz w:val="14"/>
                <w:szCs w:val="14"/>
              </w:rPr>
              <w:t>isolation</w:t>
            </w:r>
            <w:r w:rsidRPr="00FC44EB">
              <w:rPr>
                <w:sz w:val="14"/>
                <w:szCs w:val="14"/>
              </w:rPr>
              <w:t xml:space="preserve"> or hospitalization</w:t>
            </w:r>
            <w:r w:rsidR="009B5361" w:rsidRPr="00FC44EB">
              <w:rPr>
                <w:sz w:val="14"/>
                <w:szCs w:val="14"/>
              </w:rPr>
              <w:t>.</w:t>
            </w:r>
            <w:r w:rsidRPr="00FC44EB">
              <w:rPr>
                <w:sz w:val="14"/>
                <w:szCs w:val="14"/>
              </w:rPr>
              <w:t xml:space="preserve"> </w:t>
            </w:r>
            <w:r w:rsidR="002D2B60" w:rsidRPr="00FC44EB">
              <w:rPr>
                <w:sz w:val="14"/>
                <w:szCs w:val="14"/>
              </w:rPr>
              <w:t xml:space="preserve">Also, healthcare personnel might be </w:t>
            </w:r>
            <w:r w:rsidR="0015374E" w:rsidRPr="00FC44EB">
              <w:rPr>
                <w:sz w:val="14"/>
                <w:szCs w:val="14"/>
              </w:rPr>
              <w:t>forced to wear</w:t>
            </w:r>
            <w:r w:rsidR="002D2B60" w:rsidRPr="00FC44EB">
              <w:rPr>
                <w:sz w:val="14"/>
                <w:szCs w:val="14"/>
              </w:rPr>
              <w:t xml:space="preserve"> extra PPE when it is not needed.</w:t>
            </w:r>
          </w:p>
          <w:p w14:paraId="3F1F6024" w14:textId="06118B6C" w:rsidR="00E2554E" w:rsidRPr="00FC44EB" w:rsidRDefault="00E2554E"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Cross-reactivity with other respiratory </w:t>
            </w:r>
            <w:r w:rsidR="001F3E79" w:rsidRPr="00FC44EB">
              <w:rPr>
                <w:sz w:val="14"/>
                <w:szCs w:val="14"/>
              </w:rPr>
              <w:t xml:space="preserve">and febrile </w:t>
            </w:r>
            <w:r w:rsidRPr="00FC44EB">
              <w:rPr>
                <w:sz w:val="14"/>
                <w:szCs w:val="14"/>
              </w:rPr>
              <w:t xml:space="preserve">pathogens and/or interfering substances </w:t>
            </w:r>
            <w:r w:rsidR="00B54D8C" w:rsidRPr="00FC44EB">
              <w:rPr>
                <w:sz w:val="14"/>
                <w:szCs w:val="14"/>
              </w:rPr>
              <w:t>would be highly problematic</w:t>
            </w:r>
            <w:r w:rsidR="00DB3A0D" w:rsidRPr="00FC44EB">
              <w:rPr>
                <w:sz w:val="14"/>
                <w:szCs w:val="14"/>
              </w:rPr>
              <w:t>.</w:t>
            </w:r>
            <w:r w:rsidR="00B54D8C" w:rsidRPr="00FC44EB">
              <w:rPr>
                <w:sz w:val="14"/>
                <w:szCs w:val="14"/>
              </w:rPr>
              <w:t xml:space="preserve"> </w:t>
            </w:r>
          </w:p>
          <w:p w14:paraId="1AB2C683" w14:textId="02AADE07" w:rsidR="00E2554E" w:rsidRPr="00FC44EB" w:rsidRDefault="00E2554E"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The turnaround time should be maximally 1 hour, </w:t>
            </w:r>
            <w:r w:rsidR="0015374E" w:rsidRPr="00FC44EB">
              <w:rPr>
                <w:sz w:val="14"/>
                <w:szCs w:val="14"/>
              </w:rPr>
              <w:t>ideally</w:t>
            </w:r>
            <w:r w:rsidRPr="00FC44EB">
              <w:rPr>
                <w:sz w:val="14"/>
                <w:szCs w:val="14"/>
              </w:rPr>
              <w:t xml:space="preserve"> 15 minutes or less</w:t>
            </w:r>
            <w:r w:rsidR="00041DF5">
              <w:rPr>
                <w:sz w:val="14"/>
                <w:szCs w:val="14"/>
              </w:rPr>
              <w:t xml:space="preserve"> in decentralized testing settings</w:t>
            </w:r>
          </w:p>
          <w:p w14:paraId="7BD1AC92" w14:textId="4DF5C0FB" w:rsidR="000221AB" w:rsidRPr="00FC44EB" w:rsidRDefault="000221AB" w:rsidP="000221AB">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If off-site, send</w:t>
            </w:r>
            <w:r w:rsidR="00D83C02" w:rsidRPr="00FC44EB">
              <w:rPr>
                <w:sz w:val="14"/>
                <w:szCs w:val="14"/>
              </w:rPr>
              <w:t>-</w:t>
            </w:r>
            <w:r w:rsidRPr="00FC44EB">
              <w:rPr>
                <w:sz w:val="14"/>
                <w:szCs w:val="14"/>
              </w:rPr>
              <w:t xml:space="preserve">out testing is required, delayed delivery of test </w:t>
            </w:r>
            <w:r w:rsidR="00AE64F5" w:rsidRPr="00FC44EB">
              <w:rPr>
                <w:sz w:val="14"/>
                <w:szCs w:val="14"/>
              </w:rPr>
              <w:t>results (</w:t>
            </w:r>
            <w:r w:rsidRPr="00FC44EB">
              <w:rPr>
                <w:sz w:val="14"/>
                <w:szCs w:val="14"/>
              </w:rPr>
              <w:t>several days</w:t>
            </w:r>
            <w:r w:rsidR="000446B4">
              <w:rPr>
                <w:sz w:val="14"/>
                <w:szCs w:val="14"/>
              </w:rPr>
              <w:t xml:space="preserve">, currently </w:t>
            </w:r>
            <w:r w:rsidR="007B4964">
              <w:rPr>
                <w:sz w:val="14"/>
                <w:szCs w:val="14"/>
              </w:rPr>
              <w:t xml:space="preserve">often </w:t>
            </w:r>
            <w:r w:rsidR="0057511C">
              <w:rPr>
                <w:sz w:val="14"/>
                <w:szCs w:val="14"/>
              </w:rPr>
              <w:t>2</w:t>
            </w:r>
            <w:r w:rsidR="000446B4">
              <w:rPr>
                <w:sz w:val="14"/>
                <w:szCs w:val="14"/>
              </w:rPr>
              <w:t>-13 days</w:t>
            </w:r>
            <w:r w:rsidRPr="00FC44EB">
              <w:rPr>
                <w:sz w:val="14"/>
                <w:szCs w:val="14"/>
              </w:rPr>
              <w:t>) could impact the likely outcome of the person tested or result in unnecessary isolation</w:t>
            </w:r>
            <w:r w:rsidR="00DB3A0D" w:rsidRPr="00FC44EB">
              <w:rPr>
                <w:sz w:val="14"/>
                <w:szCs w:val="14"/>
              </w:rPr>
              <w:t>.</w:t>
            </w:r>
          </w:p>
          <w:p w14:paraId="339B0BA6" w14:textId="74CF90B2" w:rsidR="00E2554E" w:rsidRPr="00FC44EB" w:rsidRDefault="00612F20" w:rsidP="00652DA7">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A test designed to meet the requirements for use in an endemic setting is also likely to meet the demands for an epidemic setting.  One possible exception is the use of PPE, which is </w:t>
            </w:r>
            <w:r w:rsidR="00E2554E" w:rsidRPr="00FC44EB">
              <w:rPr>
                <w:sz w:val="14"/>
                <w:szCs w:val="14"/>
              </w:rPr>
              <w:t>less likely to be</w:t>
            </w:r>
            <w:r w:rsidR="000446B4">
              <w:rPr>
                <w:sz w:val="14"/>
                <w:szCs w:val="14"/>
              </w:rPr>
              <w:t xml:space="preserve"> used in full epidemic form</w:t>
            </w:r>
            <w:r w:rsidR="00E2554E" w:rsidRPr="00FC44EB">
              <w:rPr>
                <w:sz w:val="14"/>
                <w:szCs w:val="14"/>
              </w:rPr>
              <w:t xml:space="preserve"> </w:t>
            </w:r>
            <w:r w:rsidR="00D83C02" w:rsidRPr="00FC44EB">
              <w:rPr>
                <w:sz w:val="14"/>
                <w:szCs w:val="14"/>
              </w:rPr>
              <w:t>in an endemic setting</w:t>
            </w:r>
            <w:r w:rsidR="00E2554E" w:rsidRPr="00FC44EB">
              <w:rPr>
                <w:sz w:val="14"/>
                <w:szCs w:val="14"/>
              </w:rPr>
              <w:t xml:space="preserve">.  </w:t>
            </w:r>
            <w:r w:rsidRPr="00FC44EB">
              <w:rPr>
                <w:sz w:val="14"/>
                <w:szCs w:val="14"/>
              </w:rPr>
              <w:t>I</w:t>
            </w:r>
            <w:r w:rsidR="00E2554E" w:rsidRPr="00FC44EB">
              <w:rPr>
                <w:sz w:val="14"/>
                <w:szCs w:val="14"/>
              </w:rPr>
              <w:t xml:space="preserve">f the diagnostic test is intended for use in both settings, consideration should be given to operator interface requirements for individuals wearing PPE. </w:t>
            </w:r>
            <w:r w:rsidR="0057511C">
              <w:rPr>
                <w:sz w:val="14"/>
                <w:szCs w:val="14"/>
              </w:rPr>
              <w:t>S</w:t>
            </w:r>
            <w:r w:rsidR="004A7EA1">
              <w:rPr>
                <w:sz w:val="14"/>
                <w:szCs w:val="14"/>
              </w:rPr>
              <w:t xml:space="preserve">ubject </w:t>
            </w:r>
            <w:r w:rsidR="007B4964">
              <w:rPr>
                <w:sz w:val="14"/>
                <w:szCs w:val="14"/>
              </w:rPr>
              <w:t>self-collection</w:t>
            </w:r>
            <w:r w:rsidR="004A7EA1">
              <w:rPr>
                <w:sz w:val="14"/>
                <w:szCs w:val="14"/>
              </w:rPr>
              <w:t xml:space="preserve"> of samples greatly decreases the need for PPE in the testing protocol. </w:t>
            </w:r>
          </w:p>
          <w:p w14:paraId="5F2D8CEE" w14:textId="33E3984A" w:rsidR="00883B05" w:rsidRPr="00FC44EB" w:rsidRDefault="00883B05" w:rsidP="00883B0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It is preferable that the test be CLIA</w:t>
            </w:r>
            <w:r w:rsidR="001F3E79" w:rsidRPr="00FC44EB">
              <w:rPr>
                <w:sz w:val="14"/>
                <w:szCs w:val="14"/>
              </w:rPr>
              <w:t>-</w:t>
            </w:r>
            <w:r w:rsidRPr="00FC44EB">
              <w:rPr>
                <w:sz w:val="14"/>
                <w:szCs w:val="14"/>
              </w:rPr>
              <w:t>waivable for use by minimally trained users in decentralized testing settings, or CLIA moderately complex for use by laboratorians in small laboratories</w:t>
            </w:r>
            <w:r w:rsidR="00DB3A0D" w:rsidRPr="00FC44EB">
              <w:rPr>
                <w:sz w:val="14"/>
                <w:szCs w:val="14"/>
              </w:rPr>
              <w:t>.</w:t>
            </w:r>
            <w:r w:rsidRPr="00FC44EB">
              <w:rPr>
                <w:sz w:val="14"/>
                <w:szCs w:val="14"/>
              </w:rPr>
              <w:t xml:space="preserve"> </w:t>
            </w:r>
          </w:p>
          <w:p w14:paraId="4C47A065" w14:textId="67485E8C" w:rsidR="00E2554E" w:rsidRPr="00FC44EB" w:rsidRDefault="00A86D8C" w:rsidP="00CD06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Though current reimbursement in the US ranges from $51 - $100 for non-CDC assays, it is likely these amounts will fall with time.  </w:t>
            </w:r>
            <w:r w:rsidR="00612F20" w:rsidRPr="00FC44EB">
              <w:rPr>
                <w:sz w:val="14"/>
                <w:szCs w:val="14"/>
              </w:rPr>
              <w:t>Price</w:t>
            </w:r>
            <w:r w:rsidR="00E2554E" w:rsidRPr="00FC44EB">
              <w:rPr>
                <w:sz w:val="14"/>
                <w:szCs w:val="14"/>
              </w:rPr>
              <w:t xml:space="preserve"> </w:t>
            </w:r>
            <w:r w:rsidR="00B54D8C" w:rsidRPr="00FC44EB">
              <w:rPr>
                <w:sz w:val="14"/>
                <w:szCs w:val="14"/>
              </w:rPr>
              <w:t>targets</w:t>
            </w:r>
            <w:r w:rsidR="00010E3A">
              <w:rPr>
                <w:sz w:val="14"/>
                <w:szCs w:val="14"/>
              </w:rPr>
              <w:t>*</w:t>
            </w:r>
            <w:r w:rsidR="00B54D8C" w:rsidRPr="00FC44EB">
              <w:rPr>
                <w:sz w:val="14"/>
                <w:szCs w:val="14"/>
              </w:rPr>
              <w:t xml:space="preserve"> for a robust test could be up to $30 USD</w:t>
            </w:r>
            <w:r w:rsidR="00E2554E" w:rsidRPr="00FC44EB">
              <w:rPr>
                <w:sz w:val="14"/>
                <w:szCs w:val="14"/>
              </w:rPr>
              <w:t>.  Less in LMICs</w:t>
            </w:r>
            <w:r w:rsidR="0039020B" w:rsidRPr="00FC44EB">
              <w:rPr>
                <w:sz w:val="14"/>
                <w:szCs w:val="14"/>
              </w:rPr>
              <w:t>.</w:t>
            </w:r>
            <w:r w:rsidR="00041DF5">
              <w:rPr>
                <w:sz w:val="14"/>
                <w:szCs w:val="14"/>
              </w:rPr>
              <w:t xml:space="preserve"> </w:t>
            </w:r>
          </w:p>
          <w:p w14:paraId="1DCBF3CF" w14:textId="147AF64D" w:rsidR="0039020B" w:rsidRPr="00FC44EB" w:rsidRDefault="0039020B" w:rsidP="0039020B">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r>
      <w:tr w:rsidR="003D70C4" w:rsidRPr="00AD4071" w14:paraId="54C6953E" w14:textId="77777777" w:rsidTr="003D70C4">
        <w:trPr>
          <w:cantSplit/>
        </w:trPr>
        <w:tc>
          <w:tcPr>
            <w:cnfStyle w:val="001000000000" w:firstRow="0" w:lastRow="0" w:firstColumn="1" w:lastColumn="0" w:oddVBand="0" w:evenVBand="0" w:oddHBand="0" w:evenHBand="0" w:firstRowFirstColumn="0" w:firstRowLastColumn="0" w:lastRowFirstColumn="0" w:lastRowLastColumn="0"/>
            <w:tcW w:w="485" w:type="pct"/>
          </w:tcPr>
          <w:p w14:paraId="43F75D7E" w14:textId="510A5C13" w:rsidR="00975835" w:rsidRPr="00FC44EB" w:rsidRDefault="00975835" w:rsidP="00940A44">
            <w:pPr>
              <w:pStyle w:val="ListParagraph"/>
              <w:numPr>
                <w:ilvl w:val="0"/>
                <w:numId w:val="7"/>
              </w:numPr>
              <w:ind w:left="155" w:hanging="155"/>
              <w:rPr>
                <w:sz w:val="14"/>
                <w:szCs w:val="14"/>
              </w:rPr>
            </w:pPr>
            <w:bookmarkStart w:id="7" w:name="_Hlk34912000"/>
            <w:bookmarkEnd w:id="1"/>
            <w:r w:rsidRPr="00FC44EB">
              <w:rPr>
                <w:sz w:val="14"/>
                <w:szCs w:val="14"/>
              </w:rPr>
              <w:lastRenderedPageBreak/>
              <w:t>Differential diagnosis in endemic or epidemic settings</w:t>
            </w:r>
            <w:bookmarkEnd w:id="7"/>
          </w:p>
        </w:tc>
        <w:tc>
          <w:tcPr>
            <w:tcW w:w="974" w:type="pct"/>
          </w:tcPr>
          <w:p w14:paraId="5DE39071" w14:textId="251BFF57" w:rsidR="00B75222" w:rsidRPr="00FC44EB" w:rsidRDefault="00B75222" w:rsidP="00975835">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The intended use</w:t>
            </w:r>
            <w:r w:rsidR="00B54D8C" w:rsidRPr="00FC44EB">
              <w:rPr>
                <w:sz w:val="14"/>
                <w:szCs w:val="14"/>
              </w:rPr>
              <w:t xml:space="preserve"> is to diagnose an individual with influenza like</w:t>
            </w:r>
            <w:r w:rsidR="007B4964">
              <w:rPr>
                <w:sz w:val="14"/>
                <w:szCs w:val="14"/>
              </w:rPr>
              <w:t xml:space="preserve"> </w:t>
            </w:r>
            <w:r w:rsidR="00B54D8C" w:rsidRPr="00FC44EB">
              <w:rPr>
                <w:sz w:val="14"/>
                <w:szCs w:val="14"/>
              </w:rPr>
              <w:t>illness (e.g., Flu A</w:t>
            </w:r>
            <w:r w:rsidR="004A7EA1">
              <w:rPr>
                <w:sz w:val="14"/>
                <w:szCs w:val="14"/>
              </w:rPr>
              <w:t>/</w:t>
            </w:r>
            <w:r w:rsidR="00B54D8C" w:rsidRPr="00FC44EB">
              <w:rPr>
                <w:sz w:val="14"/>
                <w:szCs w:val="14"/>
              </w:rPr>
              <w:t xml:space="preserve"> B, RSV, SARS</w:t>
            </w:r>
            <w:r w:rsidR="002D2B60" w:rsidRPr="00FC44EB">
              <w:rPr>
                <w:sz w:val="14"/>
                <w:szCs w:val="14"/>
              </w:rPr>
              <w:t>-</w:t>
            </w:r>
            <w:r w:rsidR="00B54D8C" w:rsidRPr="00FC44EB">
              <w:rPr>
                <w:sz w:val="14"/>
                <w:szCs w:val="14"/>
              </w:rPr>
              <w:t>CoV-2) in an endemic</w:t>
            </w:r>
            <w:r w:rsidR="00E22A3E" w:rsidRPr="00FC44EB">
              <w:rPr>
                <w:sz w:val="14"/>
                <w:szCs w:val="14"/>
              </w:rPr>
              <w:t xml:space="preserve"> or epidemic</w:t>
            </w:r>
            <w:r w:rsidR="00B54D8C" w:rsidRPr="00FC44EB">
              <w:rPr>
                <w:sz w:val="14"/>
                <w:szCs w:val="14"/>
              </w:rPr>
              <w:t xml:space="preserve"> setting</w:t>
            </w:r>
          </w:p>
          <w:p w14:paraId="44D8136A" w14:textId="4B24E653" w:rsidR="003937FB" w:rsidRPr="00FC44EB" w:rsidRDefault="006C25D6" w:rsidP="006C25D6">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It could be useful to also add common febrile disease pathogens, given the early clinical presentation of some COVID-19 patients (e.g., fever, aches, no respiratory symptoms) </w:t>
            </w:r>
          </w:p>
          <w:p w14:paraId="52762974" w14:textId="58896302" w:rsidR="00975835" w:rsidRPr="00FC44EB" w:rsidRDefault="00975835" w:rsidP="00975835">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Differential </w:t>
            </w:r>
            <w:r w:rsidR="004A7EA1">
              <w:rPr>
                <w:sz w:val="14"/>
                <w:szCs w:val="14"/>
              </w:rPr>
              <w:t>testing</w:t>
            </w:r>
            <w:r w:rsidRPr="00FC44EB">
              <w:rPr>
                <w:sz w:val="14"/>
                <w:szCs w:val="14"/>
              </w:rPr>
              <w:t xml:space="preserve"> could be applied in Use Cases 1,</w:t>
            </w:r>
            <w:r w:rsidR="00E3149E" w:rsidRPr="00FC44EB">
              <w:rPr>
                <w:sz w:val="14"/>
                <w:szCs w:val="14"/>
              </w:rPr>
              <w:t xml:space="preserve"> </w:t>
            </w:r>
            <w:r w:rsidRPr="00FC44EB">
              <w:rPr>
                <w:sz w:val="14"/>
                <w:szCs w:val="14"/>
              </w:rPr>
              <w:t>2,</w:t>
            </w:r>
            <w:r w:rsidR="00E3149E" w:rsidRPr="00FC44EB">
              <w:rPr>
                <w:sz w:val="14"/>
                <w:szCs w:val="14"/>
              </w:rPr>
              <w:t xml:space="preserve"> </w:t>
            </w:r>
            <w:r w:rsidRPr="00FC44EB">
              <w:rPr>
                <w:sz w:val="14"/>
                <w:szCs w:val="14"/>
              </w:rPr>
              <w:t>3</w:t>
            </w:r>
            <w:r w:rsidR="00E3149E" w:rsidRPr="00FC44EB">
              <w:rPr>
                <w:sz w:val="14"/>
                <w:szCs w:val="14"/>
              </w:rPr>
              <w:t>,</w:t>
            </w:r>
            <w:r w:rsidRPr="00FC44EB">
              <w:rPr>
                <w:sz w:val="14"/>
                <w:szCs w:val="14"/>
              </w:rPr>
              <w:t xml:space="preserve"> and 5</w:t>
            </w:r>
          </w:p>
          <w:p w14:paraId="29C5B38B" w14:textId="77777777" w:rsidR="004A7EA1" w:rsidRPr="00FC44EB" w:rsidRDefault="004A7EA1" w:rsidP="004A7EA1">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For use at the first healthcare site a patient or their contacts would enter to receive </w:t>
            </w:r>
            <w:r>
              <w:rPr>
                <w:sz w:val="14"/>
                <w:szCs w:val="14"/>
              </w:rPr>
              <w:t xml:space="preserve">diagnosis and </w:t>
            </w:r>
            <w:r w:rsidRPr="00FC44EB">
              <w:rPr>
                <w:sz w:val="14"/>
                <w:szCs w:val="14"/>
              </w:rPr>
              <w:t>treatment</w:t>
            </w:r>
          </w:p>
          <w:p w14:paraId="20859FAF" w14:textId="77777777" w:rsidR="004A7EA1" w:rsidRDefault="004A7EA1" w:rsidP="004A7EA1">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Sites include locations where individuals commonly present seeking primary care, such as emergency rooms, urgent care clinics, hospitals and primary healthcare facilities or where individuals are referred for advanced care</w:t>
            </w:r>
          </w:p>
          <w:p w14:paraId="248F553C" w14:textId="2E033D80" w:rsidR="004A7EA1" w:rsidRDefault="004A7EA1" w:rsidP="004A7EA1">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A positive test for SARS-CoV-2 </w:t>
            </w:r>
            <w:r>
              <w:rPr>
                <w:sz w:val="14"/>
                <w:szCs w:val="14"/>
              </w:rPr>
              <w:t xml:space="preserve">virus </w:t>
            </w:r>
            <w:r w:rsidRPr="00FC44EB">
              <w:rPr>
                <w:sz w:val="14"/>
                <w:szCs w:val="14"/>
              </w:rPr>
              <w:t xml:space="preserve">or other epidemic-associated pathogens could trigger extra precautions, such as </w:t>
            </w:r>
            <w:r w:rsidR="007B4964">
              <w:rPr>
                <w:sz w:val="14"/>
                <w:szCs w:val="14"/>
              </w:rPr>
              <w:t>isolation</w:t>
            </w:r>
            <w:r w:rsidRPr="00FC44EB">
              <w:rPr>
                <w:sz w:val="14"/>
                <w:szCs w:val="14"/>
              </w:rPr>
              <w:t>, confirmatory testing, additional PPE, and contact follow-up, including healthcare staff</w:t>
            </w:r>
          </w:p>
          <w:p w14:paraId="03CA84B1" w14:textId="544289D8" w:rsidR="00975835" w:rsidRPr="00FC44EB" w:rsidRDefault="00975835" w:rsidP="007B4964">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974" w:type="pct"/>
          </w:tcPr>
          <w:p w14:paraId="3854F633" w14:textId="17AEF3F2" w:rsidR="00975835" w:rsidRPr="00FC44EB" w:rsidRDefault="00B54D8C" w:rsidP="00975835">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Same as </w:t>
            </w:r>
            <w:r w:rsidR="004A7EA1">
              <w:rPr>
                <w:sz w:val="14"/>
                <w:szCs w:val="14"/>
              </w:rPr>
              <w:t>Use Case 4</w:t>
            </w:r>
          </w:p>
          <w:p w14:paraId="796DD695" w14:textId="73EB3677" w:rsidR="008A1E86" w:rsidRPr="00FC44EB" w:rsidRDefault="008A1E86" w:rsidP="00975835">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For differential diagnostics, sample preparation can be a </w:t>
            </w:r>
            <w:r w:rsidR="007B4964">
              <w:rPr>
                <w:sz w:val="14"/>
                <w:szCs w:val="14"/>
              </w:rPr>
              <w:t>significant</w:t>
            </w:r>
            <w:r w:rsidRPr="00FC44EB">
              <w:rPr>
                <w:sz w:val="14"/>
                <w:szCs w:val="14"/>
              </w:rPr>
              <w:t xml:space="preserve"> challenge.  For example, pathogens </w:t>
            </w:r>
            <w:r w:rsidR="00E3149E" w:rsidRPr="00FC44EB">
              <w:rPr>
                <w:sz w:val="14"/>
                <w:szCs w:val="14"/>
              </w:rPr>
              <w:t xml:space="preserve">that </w:t>
            </w:r>
            <w:r w:rsidRPr="00FC44EB">
              <w:rPr>
                <w:sz w:val="14"/>
                <w:szCs w:val="14"/>
              </w:rPr>
              <w:t>present in very low concentrations in the target sample</w:t>
            </w:r>
            <w:r w:rsidR="00E3149E" w:rsidRPr="00FC44EB">
              <w:rPr>
                <w:sz w:val="14"/>
                <w:szCs w:val="14"/>
              </w:rPr>
              <w:t xml:space="preserve"> may require </w:t>
            </w:r>
            <w:r w:rsidRPr="00FC44EB">
              <w:rPr>
                <w:sz w:val="14"/>
                <w:szCs w:val="14"/>
              </w:rPr>
              <w:t>additional steps such as culture, larger sample volumes, sample concentration,</w:t>
            </w:r>
            <w:r w:rsidR="006C25D6" w:rsidRPr="00FC44EB">
              <w:rPr>
                <w:sz w:val="14"/>
                <w:szCs w:val="14"/>
              </w:rPr>
              <w:t xml:space="preserve"> or other processes</w:t>
            </w:r>
            <w:r w:rsidR="00E3149E" w:rsidRPr="00FC44EB">
              <w:rPr>
                <w:sz w:val="14"/>
                <w:szCs w:val="14"/>
              </w:rPr>
              <w:t>.</w:t>
            </w:r>
          </w:p>
          <w:p w14:paraId="0B512C95" w14:textId="4FCC0E91" w:rsidR="002C373F" w:rsidRPr="00FC44EB" w:rsidRDefault="00147D85" w:rsidP="006B2FF4">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It c</w:t>
            </w:r>
            <w:r w:rsidR="002C373F" w:rsidRPr="00FC44EB">
              <w:rPr>
                <w:sz w:val="14"/>
                <w:szCs w:val="14"/>
              </w:rPr>
              <w:t xml:space="preserve">ould be important to include additional pathogens </w:t>
            </w:r>
            <w:r w:rsidR="006B2FF4" w:rsidRPr="00FC44EB">
              <w:rPr>
                <w:sz w:val="14"/>
                <w:szCs w:val="14"/>
              </w:rPr>
              <w:t>to test. See comments</w:t>
            </w:r>
            <w:r w:rsidR="00E3149E" w:rsidRPr="00FC44EB">
              <w:rPr>
                <w:sz w:val="14"/>
                <w:szCs w:val="14"/>
              </w:rPr>
              <w:t>.</w:t>
            </w:r>
          </w:p>
        </w:tc>
        <w:tc>
          <w:tcPr>
            <w:tcW w:w="812" w:type="pct"/>
          </w:tcPr>
          <w:p w14:paraId="4781A3F7" w14:textId="7E4423CB" w:rsidR="007064C6" w:rsidRDefault="007064C6" w:rsidP="009758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For standard respiratory pathogens such as influenza virus and RSV, nasal swabs are effective</w:t>
            </w:r>
          </w:p>
          <w:p w14:paraId="58F745AD" w14:textId="6DDD59B0" w:rsidR="006C25D6" w:rsidRPr="00FC44EB" w:rsidRDefault="00612F20" w:rsidP="0097583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Sampling of the upper respiratory tract alone may not be </w:t>
            </w:r>
            <w:r w:rsidR="008A1E86" w:rsidRPr="00FC44EB">
              <w:rPr>
                <w:sz w:val="14"/>
                <w:szCs w:val="14"/>
              </w:rPr>
              <w:t>a sufficient sample source for a differential diagnostic</w:t>
            </w:r>
            <w:r w:rsidR="006C25D6" w:rsidRPr="00FC44EB">
              <w:rPr>
                <w:sz w:val="14"/>
                <w:szCs w:val="14"/>
              </w:rPr>
              <w:t xml:space="preserve"> </w:t>
            </w:r>
            <w:r w:rsidR="007064C6">
              <w:rPr>
                <w:sz w:val="14"/>
                <w:szCs w:val="14"/>
              </w:rPr>
              <w:t xml:space="preserve">for other organisms </w:t>
            </w:r>
            <w:r w:rsidR="006C25D6" w:rsidRPr="00FC44EB">
              <w:rPr>
                <w:sz w:val="14"/>
                <w:szCs w:val="14"/>
              </w:rPr>
              <w:t xml:space="preserve">since the optimum sample for one pathogen could be different for others. As a </w:t>
            </w:r>
            <w:r w:rsidR="00573BFC" w:rsidRPr="00FC44EB">
              <w:rPr>
                <w:sz w:val="14"/>
                <w:szCs w:val="14"/>
              </w:rPr>
              <w:t>result, careful</w:t>
            </w:r>
            <w:r w:rsidR="008A1E86" w:rsidRPr="00FC44EB">
              <w:rPr>
                <w:sz w:val="14"/>
                <w:szCs w:val="14"/>
              </w:rPr>
              <w:t xml:space="preserve"> consideration must be given to appropriate samples and sample preparation requirements.</w:t>
            </w:r>
            <w:r w:rsidR="007064C6">
              <w:rPr>
                <w:sz w:val="14"/>
                <w:szCs w:val="14"/>
              </w:rPr>
              <w:t xml:space="preserve"> However, respiratory pathogen panels are available using one common sample type. </w:t>
            </w:r>
          </w:p>
          <w:p w14:paraId="58EF05E0" w14:textId="630E2D08" w:rsidR="00840FE8" w:rsidRPr="00FC44EB" w:rsidRDefault="00CA39FF" w:rsidP="00840FE8">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It </w:t>
            </w:r>
            <w:r w:rsidR="007064C6">
              <w:rPr>
                <w:sz w:val="14"/>
                <w:szCs w:val="14"/>
              </w:rPr>
              <w:t>is</w:t>
            </w:r>
            <w:r w:rsidRPr="00FC44EB">
              <w:rPr>
                <w:sz w:val="14"/>
                <w:szCs w:val="14"/>
              </w:rPr>
              <w:t xml:space="preserve"> useful</w:t>
            </w:r>
            <w:r w:rsidRPr="00FC44EB" w:rsidDel="00BC3387">
              <w:rPr>
                <w:sz w:val="14"/>
                <w:szCs w:val="14"/>
              </w:rPr>
              <w:t xml:space="preserve"> </w:t>
            </w:r>
            <w:r w:rsidRPr="00FC44EB">
              <w:rPr>
                <w:sz w:val="14"/>
                <w:szCs w:val="14"/>
              </w:rPr>
              <w:t>to have self</w:t>
            </w:r>
            <w:r w:rsidR="00840FE8" w:rsidRPr="00FC44EB">
              <w:rPr>
                <w:sz w:val="14"/>
                <w:szCs w:val="14"/>
              </w:rPr>
              <w:t xml:space="preserve">-collection of samples with either </w:t>
            </w:r>
            <w:r w:rsidR="00686429" w:rsidRPr="00FC44EB">
              <w:rPr>
                <w:sz w:val="14"/>
                <w:szCs w:val="14"/>
              </w:rPr>
              <w:t>courier</w:t>
            </w:r>
            <w:r w:rsidR="00840FE8" w:rsidRPr="00FC44EB">
              <w:rPr>
                <w:sz w:val="14"/>
                <w:szCs w:val="14"/>
              </w:rPr>
              <w:t xml:space="preserve"> pick up or shipment to testing sites for testing could be useful</w:t>
            </w:r>
          </w:p>
          <w:p w14:paraId="4427FF09" w14:textId="4E39A2A3" w:rsidR="00840FE8" w:rsidRPr="00FC44EB" w:rsidRDefault="00840FE8" w:rsidP="00840FE8">
            <w:pPr>
              <w:cnfStyle w:val="000000000000" w:firstRow="0" w:lastRow="0" w:firstColumn="0" w:lastColumn="0" w:oddVBand="0" w:evenVBand="0" w:oddHBand="0" w:evenHBand="0" w:firstRowFirstColumn="0" w:firstRowLastColumn="0" w:lastRowFirstColumn="0" w:lastRowLastColumn="0"/>
              <w:rPr>
                <w:sz w:val="14"/>
                <w:szCs w:val="14"/>
              </w:rPr>
            </w:pPr>
          </w:p>
        </w:tc>
        <w:tc>
          <w:tcPr>
            <w:tcW w:w="1754" w:type="pct"/>
          </w:tcPr>
          <w:p w14:paraId="21753433" w14:textId="3210555B" w:rsidR="00573BFC" w:rsidRPr="007064C6" w:rsidRDefault="00573BFC" w:rsidP="00573BFC">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7064C6">
              <w:rPr>
                <w:sz w:val="13"/>
                <w:szCs w:val="13"/>
              </w:rPr>
              <w:t xml:space="preserve">For this use case, RNA and DNA tests are the most likely to be used (PCR, isothermal amp, NGS).  Depending upon their performance, antigen tests may also offer value, but this might not be true for all pathogens </w:t>
            </w:r>
            <w:r w:rsidR="007064C6" w:rsidRPr="007064C6">
              <w:rPr>
                <w:sz w:val="13"/>
                <w:szCs w:val="13"/>
              </w:rPr>
              <w:t xml:space="preserve">in a panel </w:t>
            </w:r>
            <w:r w:rsidRPr="007064C6">
              <w:rPr>
                <w:sz w:val="13"/>
                <w:szCs w:val="13"/>
              </w:rPr>
              <w:t xml:space="preserve">and could be more complicated to deploy than nucleic acid testing. </w:t>
            </w:r>
          </w:p>
          <w:p w14:paraId="0B1EF85C" w14:textId="56405A60" w:rsidR="00975835" w:rsidRPr="00147D85" w:rsidRDefault="00975835" w:rsidP="00147D85">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147D85">
              <w:rPr>
                <w:sz w:val="13"/>
                <w:szCs w:val="13"/>
              </w:rPr>
              <w:t>Most of the individuals presenting to healthcare facilities</w:t>
            </w:r>
            <w:r w:rsidR="004924C5" w:rsidRPr="00147D85">
              <w:rPr>
                <w:sz w:val="13"/>
                <w:szCs w:val="13"/>
              </w:rPr>
              <w:t xml:space="preserve"> with symptoms of respiratory </w:t>
            </w:r>
            <w:r w:rsidR="006C25D6" w:rsidRPr="00147D85">
              <w:rPr>
                <w:sz w:val="13"/>
                <w:szCs w:val="13"/>
              </w:rPr>
              <w:t xml:space="preserve">or febrile </w:t>
            </w:r>
            <w:r w:rsidR="004924C5" w:rsidRPr="00147D85">
              <w:rPr>
                <w:sz w:val="13"/>
                <w:szCs w:val="13"/>
              </w:rPr>
              <w:t>illness</w:t>
            </w:r>
            <w:r w:rsidRPr="00147D85">
              <w:rPr>
                <w:sz w:val="13"/>
                <w:szCs w:val="13"/>
              </w:rPr>
              <w:t xml:space="preserve"> are unlikely to have contracted COVID-19, even in epidemic settings</w:t>
            </w:r>
            <w:r w:rsidR="004924C5" w:rsidRPr="00147D85">
              <w:rPr>
                <w:sz w:val="13"/>
                <w:szCs w:val="13"/>
              </w:rPr>
              <w:t>.  Possible exceptions could include elderly individuals from assisted living</w:t>
            </w:r>
            <w:r w:rsidR="00103883">
              <w:rPr>
                <w:sz w:val="13"/>
                <w:szCs w:val="13"/>
              </w:rPr>
              <w:t xml:space="preserve"> and skilled nursing</w:t>
            </w:r>
            <w:r w:rsidR="004924C5" w:rsidRPr="00147D85">
              <w:rPr>
                <w:sz w:val="13"/>
                <w:szCs w:val="13"/>
              </w:rPr>
              <w:t xml:space="preserve"> facilities</w:t>
            </w:r>
            <w:r w:rsidR="008A1E86" w:rsidRPr="00147D85">
              <w:rPr>
                <w:sz w:val="13"/>
                <w:szCs w:val="13"/>
              </w:rPr>
              <w:t xml:space="preserve"> or other close </w:t>
            </w:r>
            <w:r w:rsidR="006C25D6" w:rsidRPr="00147D85">
              <w:rPr>
                <w:sz w:val="13"/>
                <w:szCs w:val="13"/>
              </w:rPr>
              <w:t xml:space="preserve">human </w:t>
            </w:r>
            <w:r w:rsidR="008A1E86" w:rsidRPr="00147D85">
              <w:rPr>
                <w:sz w:val="13"/>
                <w:szCs w:val="13"/>
              </w:rPr>
              <w:t>contact settings</w:t>
            </w:r>
            <w:r w:rsidR="004924C5" w:rsidRPr="00147D85">
              <w:rPr>
                <w:sz w:val="13"/>
                <w:szCs w:val="13"/>
              </w:rPr>
              <w:t xml:space="preserve"> with known infections.</w:t>
            </w:r>
          </w:p>
          <w:p w14:paraId="65DEDDCB" w14:textId="404B6267" w:rsidR="006C25D6" w:rsidRPr="00FC44EB" w:rsidRDefault="006C25D6"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D</w:t>
            </w:r>
            <w:r w:rsidR="00975835" w:rsidRPr="00FC44EB">
              <w:rPr>
                <w:sz w:val="13"/>
                <w:szCs w:val="13"/>
              </w:rPr>
              <w:t xml:space="preserve">etection of other potential causative agents could provide healthcare workers with an immediate opportunity to treat </w:t>
            </w:r>
            <w:r w:rsidR="00E3149E" w:rsidRPr="00FC44EB">
              <w:rPr>
                <w:sz w:val="13"/>
                <w:szCs w:val="13"/>
              </w:rPr>
              <w:t xml:space="preserve">and thus avoid </w:t>
            </w:r>
            <w:r w:rsidR="00975835" w:rsidRPr="00FC44EB">
              <w:rPr>
                <w:sz w:val="13"/>
                <w:szCs w:val="13"/>
              </w:rPr>
              <w:t>further work up and postpone</w:t>
            </w:r>
            <w:r w:rsidR="008A1E86" w:rsidRPr="00FC44EB">
              <w:rPr>
                <w:sz w:val="13"/>
                <w:szCs w:val="13"/>
              </w:rPr>
              <w:t>ment of</w:t>
            </w:r>
            <w:r w:rsidR="00975835" w:rsidRPr="00FC44EB">
              <w:rPr>
                <w:sz w:val="13"/>
                <w:szCs w:val="13"/>
              </w:rPr>
              <w:t xml:space="preserve"> treatment</w:t>
            </w:r>
            <w:r w:rsidR="006B2FF4" w:rsidRPr="00FC44EB">
              <w:rPr>
                <w:sz w:val="13"/>
                <w:szCs w:val="13"/>
              </w:rPr>
              <w:t>.</w:t>
            </w:r>
          </w:p>
          <w:p w14:paraId="3E2AAB4D" w14:textId="627280D8" w:rsidR="00975835" w:rsidRPr="00FC44EB" w:rsidRDefault="006C25D6"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M</w:t>
            </w:r>
            <w:r w:rsidR="006B2FF4" w:rsidRPr="00FC44EB">
              <w:rPr>
                <w:sz w:val="13"/>
                <w:szCs w:val="13"/>
              </w:rPr>
              <w:t>ultiple pathogens could be present when viral infection leads to bacterial pneumonia</w:t>
            </w:r>
            <w:r w:rsidRPr="00FC44EB">
              <w:rPr>
                <w:sz w:val="13"/>
                <w:szCs w:val="13"/>
              </w:rPr>
              <w:t xml:space="preserve"> or sepsis</w:t>
            </w:r>
            <w:r w:rsidR="006B2FF4" w:rsidRPr="00FC44EB">
              <w:rPr>
                <w:sz w:val="13"/>
                <w:szCs w:val="13"/>
              </w:rPr>
              <w:t xml:space="preserve">. </w:t>
            </w:r>
          </w:p>
          <w:p w14:paraId="66B42002" w14:textId="37487512" w:rsidR="00B54D8C" w:rsidRPr="00FC44EB" w:rsidRDefault="00B54D8C"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If the test is designed to meet the </w:t>
            </w:r>
            <w:r w:rsidR="00E3149E" w:rsidRPr="00FC44EB">
              <w:rPr>
                <w:sz w:val="13"/>
                <w:szCs w:val="13"/>
              </w:rPr>
              <w:t xml:space="preserve">higher performance </w:t>
            </w:r>
            <w:r w:rsidRPr="00FC44EB">
              <w:rPr>
                <w:sz w:val="13"/>
                <w:szCs w:val="13"/>
              </w:rPr>
              <w:t xml:space="preserve">requirements for endemic settings it should also </w:t>
            </w:r>
            <w:r w:rsidR="00E3149E" w:rsidRPr="00FC44EB">
              <w:rPr>
                <w:sz w:val="13"/>
                <w:szCs w:val="13"/>
              </w:rPr>
              <w:t>be useful</w:t>
            </w:r>
            <w:r w:rsidRPr="00FC44EB">
              <w:rPr>
                <w:sz w:val="13"/>
                <w:szCs w:val="13"/>
              </w:rPr>
              <w:t xml:space="preserve"> in epidemic settings </w:t>
            </w:r>
            <w:r w:rsidR="00E3149E" w:rsidRPr="00FC44EB">
              <w:rPr>
                <w:sz w:val="13"/>
                <w:szCs w:val="13"/>
              </w:rPr>
              <w:t xml:space="preserve">with lower performance requirements. </w:t>
            </w:r>
          </w:p>
          <w:p w14:paraId="666DD58E" w14:textId="50BC384B" w:rsidR="004A7EA1" w:rsidRDefault="008A1E86"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Determining whether upper or lower respiratory pathogens are indicated for testing is a critical consideration.  </w:t>
            </w:r>
            <w:r w:rsidR="007064C6">
              <w:rPr>
                <w:sz w:val="13"/>
                <w:szCs w:val="13"/>
              </w:rPr>
              <w:t xml:space="preserve">Minimally the test would include SARS-CoV-2 and flu A/B detection capability. </w:t>
            </w:r>
            <w:r w:rsidR="007064C6" w:rsidRPr="00FC44EB">
              <w:rPr>
                <w:sz w:val="13"/>
                <w:szCs w:val="13"/>
              </w:rPr>
              <w:t xml:space="preserve">Depending on the region, time of year, and setting, other common respiratory pathogens might also be considered, such as RSV.  </w:t>
            </w:r>
            <w:r w:rsidR="007064C6">
              <w:rPr>
                <w:sz w:val="13"/>
                <w:szCs w:val="13"/>
              </w:rPr>
              <w:t xml:space="preserve">Optimally, the test </w:t>
            </w:r>
            <w:r w:rsidR="00B54D8C" w:rsidRPr="00FC44EB">
              <w:rPr>
                <w:sz w:val="13"/>
                <w:szCs w:val="13"/>
              </w:rPr>
              <w:t xml:space="preserve">would include the </w:t>
            </w:r>
            <w:r w:rsidR="007064C6">
              <w:rPr>
                <w:sz w:val="13"/>
                <w:szCs w:val="13"/>
              </w:rPr>
              <w:t xml:space="preserve">other </w:t>
            </w:r>
            <w:r w:rsidR="00B54D8C" w:rsidRPr="00FC44EB">
              <w:rPr>
                <w:sz w:val="13"/>
                <w:szCs w:val="13"/>
              </w:rPr>
              <w:t>4 coronaviruses associated with the upper respiratory infections and the common cold (</w:t>
            </w:r>
            <w:proofErr w:type="spellStart"/>
            <w:r w:rsidR="00B54D8C" w:rsidRPr="00FC44EB">
              <w:rPr>
                <w:sz w:val="13"/>
                <w:szCs w:val="13"/>
              </w:rPr>
              <w:t>HCoV</w:t>
            </w:r>
            <w:proofErr w:type="spellEnd"/>
            <w:r w:rsidR="00B54D8C" w:rsidRPr="00FC44EB">
              <w:rPr>
                <w:sz w:val="13"/>
                <w:szCs w:val="13"/>
              </w:rPr>
              <w:t xml:space="preserve"> 229E, NL63, OC43 and HKU1)</w:t>
            </w:r>
            <w:r w:rsidRPr="00FC44EB">
              <w:rPr>
                <w:sz w:val="13"/>
                <w:szCs w:val="13"/>
              </w:rPr>
              <w:t xml:space="preserve">.  </w:t>
            </w:r>
          </w:p>
          <w:p w14:paraId="22526AA3" w14:textId="5E510D08" w:rsidR="00B54D8C" w:rsidRPr="00FC44EB" w:rsidRDefault="008A1E86"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Lower respiratory targets would include </w:t>
            </w:r>
            <w:r w:rsidR="006B2FF4" w:rsidRPr="00FC44EB">
              <w:rPr>
                <w:sz w:val="13"/>
                <w:szCs w:val="13"/>
              </w:rPr>
              <w:t xml:space="preserve">bacteria associated with </w:t>
            </w:r>
            <w:r w:rsidRPr="00FC44EB">
              <w:rPr>
                <w:sz w:val="13"/>
                <w:szCs w:val="13"/>
              </w:rPr>
              <w:t>pneumonia</w:t>
            </w:r>
            <w:r w:rsidR="00090EE0" w:rsidRPr="00FC44EB">
              <w:rPr>
                <w:sz w:val="13"/>
                <w:szCs w:val="13"/>
              </w:rPr>
              <w:t xml:space="preserve">, bronchitis and potentially tuberculosis. </w:t>
            </w:r>
          </w:p>
          <w:p w14:paraId="23CB267E" w14:textId="4C689FDD" w:rsidR="006D559C" w:rsidRPr="00FC44EB" w:rsidRDefault="006D559C"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Pathogens </w:t>
            </w:r>
            <w:r w:rsidR="004A7EA1">
              <w:rPr>
                <w:sz w:val="13"/>
                <w:szCs w:val="13"/>
              </w:rPr>
              <w:t>associated with</w:t>
            </w:r>
            <w:r w:rsidRPr="00FC44EB">
              <w:rPr>
                <w:sz w:val="13"/>
                <w:szCs w:val="13"/>
              </w:rPr>
              <w:t xml:space="preserve"> febrile disease present more of a challenge based upon the geographic location of testing</w:t>
            </w:r>
            <w:r w:rsidR="00DB3A0D" w:rsidRPr="00FC44EB">
              <w:rPr>
                <w:sz w:val="13"/>
                <w:szCs w:val="13"/>
              </w:rPr>
              <w:t>.</w:t>
            </w:r>
            <w:r w:rsidR="00147D85">
              <w:rPr>
                <w:sz w:val="13"/>
                <w:szCs w:val="13"/>
              </w:rPr>
              <w:t xml:space="preserve">  Tests for fever of unknown origin may require different test methodologies (e.g., nucleic acid, immunoassay, chemistry) and samples.</w:t>
            </w:r>
          </w:p>
          <w:p w14:paraId="21D8E1EE" w14:textId="636277A4" w:rsidR="0015374E" w:rsidRPr="00FC44EB" w:rsidRDefault="00E3149E"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A single</w:t>
            </w:r>
            <w:r w:rsidR="0015374E" w:rsidRPr="00FC44EB">
              <w:rPr>
                <w:sz w:val="13"/>
                <w:szCs w:val="13"/>
              </w:rPr>
              <w:t xml:space="preserve"> multiplex test designed to detect multiple pathogens from a single sample</w:t>
            </w:r>
            <w:r w:rsidRPr="00FC44EB">
              <w:rPr>
                <w:sz w:val="13"/>
                <w:szCs w:val="13"/>
              </w:rPr>
              <w:t>,</w:t>
            </w:r>
            <w:r w:rsidR="0015374E" w:rsidRPr="00FC44EB">
              <w:rPr>
                <w:sz w:val="13"/>
                <w:szCs w:val="13"/>
              </w:rPr>
              <w:t xml:space="preserve"> or multiple tests (aka multi-parallel format)</w:t>
            </w:r>
            <w:r w:rsidRPr="00FC44EB">
              <w:rPr>
                <w:sz w:val="13"/>
                <w:szCs w:val="13"/>
              </w:rPr>
              <w:t>,</w:t>
            </w:r>
            <w:r w:rsidR="0015374E" w:rsidRPr="00FC44EB">
              <w:rPr>
                <w:sz w:val="13"/>
                <w:szCs w:val="13"/>
              </w:rPr>
              <w:t xml:space="preserve"> would be required</w:t>
            </w:r>
            <w:r w:rsidR="006D559C" w:rsidRPr="00FC44EB">
              <w:rPr>
                <w:sz w:val="13"/>
                <w:szCs w:val="13"/>
              </w:rPr>
              <w:t>. Multiple tests could be required to deal with multiple sample types needed.</w:t>
            </w:r>
          </w:p>
          <w:p w14:paraId="148E336A" w14:textId="1BB9A95C" w:rsidR="0015374E" w:rsidRPr="00FC44EB" w:rsidRDefault="00382D3F"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By referring either the sample or the patient</w:t>
            </w:r>
            <w:r w:rsidR="006D559C" w:rsidRPr="00FC44EB">
              <w:rPr>
                <w:sz w:val="13"/>
                <w:szCs w:val="13"/>
              </w:rPr>
              <w:t xml:space="preserve"> for testing</w:t>
            </w:r>
            <w:r w:rsidR="00F45CD8" w:rsidRPr="00FC44EB">
              <w:rPr>
                <w:sz w:val="13"/>
                <w:szCs w:val="13"/>
              </w:rPr>
              <w:t xml:space="preserve"> to other facilities</w:t>
            </w:r>
            <w:r w:rsidR="00E3149E" w:rsidRPr="00FC44EB">
              <w:rPr>
                <w:sz w:val="13"/>
                <w:szCs w:val="13"/>
              </w:rPr>
              <w:t>,</w:t>
            </w:r>
            <w:r w:rsidRPr="00FC44EB">
              <w:rPr>
                <w:sz w:val="13"/>
                <w:szCs w:val="13"/>
              </w:rPr>
              <w:t xml:space="preserve"> the test could be deployed at higher level infrastructure facilities to diagnose cases not possible to detect with existing technologies available at lower level centers; PPE use could vary from site to site</w:t>
            </w:r>
            <w:r w:rsidR="00DB3A0D" w:rsidRPr="00FC44EB">
              <w:rPr>
                <w:sz w:val="13"/>
                <w:szCs w:val="13"/>
              </w:rPr>
              <w:t>.</w:t>
            </w:r>
            <w:r w:rsidRPr="00FC44EB">
              <w:rPr>
                <w:sz w:val="13"/>
                <w:szCs w:val="13"/>
              </w:rPr>
              <w:t xml:space="preserve"> </w:t>
            </w:r>
          </w:p>
          <w:p w14:paraId="7708F0C4" w14:textId="7A6C1E58" w:rsidR="00975835"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There could be additional clinical benefits to knowing that</w:t>
            </w:r>
            <w:r w:rsidR="006D559C" w:rsidRPr="00FC44EB">
              <w:rPr>
                <w:sz w:val="13"/>
                <w:szCs w:val="13"/>
              </w:rPr>
              <w:t xml:space="preserve"> SARS-CoV-2</w:t>
            </w:r>
            <w:r w:rsidRPr="00FC44EB">
              <w:rPr>
                <w:sz w:val="13"/>
                <w:szCs w:val="13"/>
              </w:rPr>
              <w:t xml:space="preserve"> is a co-infection with other </w:t>
            </w:r>
            <w:r w:rsidR="005A2E31" w:rsidRPr="00FC44EB">
              <w:rPr>
                <w:sz w:val="13"/>
                <w:szCs w:val="13"/>
              </w:rPr>
              <w:t>respiratory</w:t>
            </w:r>
            <w:r w:rsidRPr="00FC44EB">
              <w:rPr>
                <w:sz w:val="13"/>
                <w:szCs w:val="13"/>
              </w:rPr>
              <w:t xml:space="preserve"> </w:t>
            </w:r>
            <w:r w:rsidR="006D559C" w:rsidRPr="00FC44EB">
              <w:rPr>
                <w:sz w:val="13"/>
                <w:szCs w:val="13"/>
              </w:rPr>
              <w:t xml:space="preserve">or febrile </w:t>
            </w:r>
            <w:r w:rsidR="004924C5" w:rsidRPr="00FC44EB">
              <w:rPr>
                <w:sz w:val="13"/>
                <w:szCs w:val="13"/>
              </w:rPr>
              <w:t>disease-causing</w:t>
            </w:r>
            <w:r w:rsidRPr="00FC44EB">
              <w:rPr>
                <w:sz w:val="13"/>
                <w:szCs w:val="13"/>
              </w:rPr>
              <w:t xml:space="preserve"> </w:t>
            </w:r>
            <w:r w:rsidR="006D559C" w:rsidRPr="00FC44EB">
              <w:rPr>
                <w:sz w:val="13"/>
                <w:szCs w:val="13"/>
              </w:rPr>
              <w:t>pathogens</w:t>
            </w:r>
            <w:r w:rsidR="00090EE0" w:rsidRPr="00FC44EB">
              <w:rPr>
                <w:sz w:val="13"/>
                <w:szCs w:val="13"/>
              </w:rPr>
              <w:t xml:space="preserve">, including shortened time to </w:t>
            </w:r>
            <w:r w:rsidR="00147D85">
              <w:rPr>
                <w:sz w:val="13"/>
                <w:szCs w:val="13"/>
              </w:rPr>
              <w:t xml:space="preserve">appropriate </w:t>
            </w:r>
            <w:r w:rsidR="00090EE0" w:rsidRPr="00FC44EB">
              <w:rPr>
                <w:sz w:val="13"/>
                <w:szCs w:val="13"/>
              </w:rPr>
              <w:t>treatment, reduced risk of complications, reduction in health system crowding and reduced risk of disease transmission</w:t>
            </w:r>
            <w:r w:rsidR="00DB3A0D" w:rsidRPr="00FC44EB">
              <w:rPr>
                <w:sz w:val="13"/>
                <w:szCs w:val="13"/>
              </w:rPr>
              <w:t>.</w:t>
            </w:r>
          </w:p>
          <w:p w14:paraId="609BF3E0" w14:textId="76554170" w:rsidR="00975835"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There is a substantial challenge </w:t>
            </w:r>
            <w:r w:rsidR="007064C6">
              <w:rPr>
                <w:sz w:val="13"/>
                <w:szCs w:val="13"/>
              </w:rPr>
              <w:t>for</w:t>
            </w:r>
            <w:r w:rsidRPr="00FC44EB">
              <w:rPr>
                <w:sz w:val="13"/>
                <w:szCs w:val="13"/>
              </w:rPr>
              <w:t xml:space="preserve"> developers to create multiplexed or multi-parallel tests with the necessary and sufficient performance for each target</w:t>
            </w:r>
            <w:r w:rsidR="00090EE0" w:rsidRPr="00FC44EB">
              <w:rPr>
                <w:sz w:val="13"/>
                <w:szCs w:val="13"/>
              </w:rPr>
              <w:t xml:space="preserve"> and, for multiplex tests, using a common sample type and sample preparation method</w:t>
            </w:r>
            <w:r w:rsidR="00DB3A0D" w:rsidRPr="00FC44EB">
              <w:rPr>
                <w:sz w:val="13"/>
                <w:szCs w:val="13"/>
              </w:rPr>
              <w:t>.</w:t>
            </w:r>
            <w:r w:rsidR="00772980">
              <w:rPr>
                <w:sz w:val="13"/>
                <w:szCs w:val="13"/>
              </w:rPr>
              <w:t xml:space="preserve"> Nevertheless, a few SARS-CoV-2 tests combined with flu A/B have received FDA EUA. </w:t>
            </w:r>
          </w:p>
          <w:p w14:paraId="59E7BAD4" w14:textId="36BE9599" w:rsidR="00975835"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 xml:space="preserve">It is possible that in some situations it would be more useful to test for more common </w:t>
            </w:r>
            <w:r w:rsidR="005A2E31" w:rsidRPr="00FC44EB">
              <w:rPr>
                <w:sz w:val="13"/>
                <w:szCs w:val="13"/>
              </w:rPr>
              <w:t>respiratory</w:t>
            </w:r>
            <w:r w:rsidRPr="00FC44EB">
              <w:rPr>
                <w:sz w:val="13"/>
                <w:szCs w:val="13"/>
              </w:rPr>
              <w:t xml:space="preserve"> </w:t>
            </w:r>
            <w:r w:rsidR="006D559C" w:rsidRPr="00FC44EB">
              <w:rPr>
                <w:sz w:val="13"/>
                <w:szCs w:val="13"/>
              </w:rPr>
              <w:t xml:space="preserve">and febrile </w:t>
            </w:r>
            <w:r w:rsidRPr="00FC44EB">
              <w:rPr>
                <w:sz w:val="13"/>
                <w:szCs w:val="13"/>
              </w:rPr>
              <w:t xml:space="preserve">disease </w:t>
            </w:r>
            <w:r w:rsidR="006D559C" w:rsidRPr="00FC44EB">
              <w:rPr>
                <w:sz w:val="13"/>
                <w:szCs w:val="13"/>
              </w:rPr>
              <w:t>pathogens</w:t>
            </w:r>
            <w:r w:rsidRPr="00FC44EB">
              <w:rPr>
                <w:sz w:val="13"/>
                <w:szCs w:val="13"/>
              </w:rPr>
              <w:t xml:space="preserve"> first, and then follow up with a differential diagnostic for other pathogens when </w:t>
            </w:r>
            <w:r w:rsidR="006D559C" w:rsidRPr="00FC44EB">
              <w:rPr>
                <w:sz w:val="13"/>
                <w:szCs w:val="13"/>
              </w:rPr>
              <w:t xml:space="preserve">a </w:t>
            </w:r>
            <w:r w:rsidRPr="00FC44EB">
              <w:rPr>
                <w:sz w:val="13"/>
                <w:szCs w:val="13"/>
              </w:rPr>
              <w:t>simpler cause was not found</w:t>
            </w:r>
            <w:r w:rsidR="00DB3A0D" w:rsidRPr="00FC44EB">
              <w:rPr>
                <w:sz w:val="13"/>
                <w:szCs w:val="13"/>
              </w:rPr>
              <w:t>.</w:t>
            </w:r>
          </w:p>
          <w:p w14:paraId="1DD54D58" w14:textId="77777777" w:rsidR="00AE38F9"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A confirmatory test for all targets is not practical or necessary</w:t>
            </w:r>
            <w:r w:rsidR="00AE38F9" w:rsidRPr="00FC44EB">
              <w:rPr>
                <w:sz w:val="13"/>
                <w:szCs w:val="13"/>
              </w:rPr>
              <w:t xml:space="preserve">. </w:t>
            </w:r>
          </w:p>
          <w:p w14:paraId="11CAD831" w14:textId="454F6635" w:rsidR="00AE38F9" w:rsidRPr="00FC44EB" w:rsidRDefault="00AE38F9"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If none of the pathogen targets of the</w:t>
            </w:r>
            <w:r w:rsidR="006D559C" w:rsidRPr="00FC44EB">
              <w:rPr>
                <w:sz w:val="13"/>
                <w:szCs w:val="13"/>
              </w:rPr>
              <w:t xml:space="preserve"> </w:t>
            </w:r>
            <w:r w:rsidRPr="00FC44EB">
              <w:rPr>
                <w:sz w:val="13"/>
                <w:szCs w:val="13"/>
              </w:rPr>
              <w:t xml:space="preserve">differential diagnostic test are detected, it </w:t>
            </w:r>
            <w:r w:rsidR="006D559C" w:rsidRPr="00FC44EB">
              <w:rPr>
                <w:sz w:val="13"/>
                <w:szCs w:val="13"/>
              </w:rPr>
              <w:t>could be important</w:t>
            </w:r>
            <w:r w:rsidRPr="00FC44EB">
              <w:rPr>
                <w:sz w:val="13"/>
                <w:szCs w:val="13"/>
              </w:rPr>
              <w:t xml:space="preserve"> to test for</w:t>
            </w:r>
            <w:r w:rsidR="006D559C" w:rsidRPr="00FC44EB">
              <w:rPr>
                <w:sz w:val="13"/>
                <w:szCs w:val="13"/>
              </w:rPr>
              <w:t xml:space="preserve"> outbreak pathogens</w:t>
            </w:r>
            <w:r w:rsidR="00975835" w:rsidRPr="00FC44EB">
              <w:rPr>
                <w:sz w:val="13"/>
                <w:szCs w:val="13"/>
              </w:rPr>
              <w:t xml:space="preserve"> with major population health implications</w:t>
            </w:r>
            <w:r w:rsidR="004924C5" w:rsidRPr="00FC44EB">
              <w:rPr>
                <w:sz w:val="13"/>
                <w:szCs w:val="13"/>
              </w:rPr>
              <w:t xml:space="preserve">, such as </w:t>
            </w:r>
            <w:r w:rsidR="00772980">
              <w:rPr>
                <w:sz w:val="13"/>
                <w:szCs w:val="13"/>
              </w:rPr>
              <w:t xml:space="preserve">new influenza strains, </w:t>
            </w:r>
            <w:r w:rsidR="006D559C" w:rsidRPr="00FC44EB">
              <w:rPr>
                <w:sz w:val="13"/>
                <w:szCs w:val="13"/>
              </w:rPr>
              <w:t xml:space="preserve">Lassa, Marburg, Ebola, </w:t>
            </w:r>
            <w:r w:rsidR="005A2E31" w:rsidRPr="00FC44EB">
              <w:rPr>
                <w:sz w:val="13"/>
                <w:szCs w:val="13"/>
              </w:rPr>
              <w:t>SARS-</w:t>
            </w:r>
            <w:proofErr w:type="spellStart"/>
            <w:r w:rsidR="005A2E31" w:rsidRPr="00FC44EB">
              <w:rPr>
                <w:sz w:val="13"/>
                <w:szCs w:val="13"/>
              </w:rPr>
              <w:t>CoV</w:t>
            </w:r>
            <w:proofErr w:type="spellEnd"/>
            <w:r w:rsidR="006D559C" w:rsidRPr="00FC44EB">
              <w:rPr>
                <w:sz w:val="13"/>
                <w:szCs w:val="13"/>
              </w:rPr>
              <w:t xml:space="preserve"> and </w:t>
            </w:r>
            <w:r w:rsidR="005A2E31" w:rsidRPr="00FC44EB">
              <w:rPr>
                <w:sz w:val="13"/>
                <w:szCs w:val="13"/>
              </w:rPr>
              <w:t>MERS-</w:t>
            </w:r>
            <w:proofErr w:type="spellStart"/>
            <w:r w:rsidR="005A2E31" w:rsidRPr="00FC44EB">
              <w:rPr>
                <w:sz w:val="13"/>
                <w:szCs w:val="13"/>
              </w:rPr>
              <w:t>CoV</w:t>
            </w:r>
            <w:proofErr w:type="spellEnd"/>
            <w:r w:rsidR="006D559C" w:rsidRPr="00FC44EB">
              <w:rPr>
                <w:sz w:val="13"/>
                <w:szCs w:val="13"/>
              </w:rPr>
              <w:t xml:space="preserve">. </w:t>
            </w:r>
          </w:p>
          <w:p w14:paraId="29F74AC8" w14:textId="3625759D" w:rsidR="00975835" w:rsidRPr="00FC44EB" w:rsidRDefault="00AE38F9"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Bio-</w:t>
            </w:r>
            <w:r w:rsidR="007064C6">
              <w:rPr>
                <w:sz w:val="13"/>
                <w:szCs w:val="13"/>
              </w:rPr>
              <w:t>t</w:t>
            </w:r>
            <w:r w:rsidRPr="00FC44EB">
              <w:rPr>
                <w:sz w:val="13"/>
                <w:szCs w:val="13"/>
              </w:rPr>
              <w:t xml:space="preserve">hreat pathogens are not considered here. </w:t>
            </w:r>
          </w:p>
          <w:p w14:paraId="0EFCA67D" w14:textId="487DDA09" w:rsidR="00975835" w:rsidRPr="00FC44EB" w:rsidRDefault="00975835"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Typically, instituting panel tests is cost prohibitive, although reports of inexpensive alternatives have appeared</w:t>
            </w:r>
            <w:r w:rsidR="00DB3A0D" w:rsidRPr="00FC44EB">
              <w:rPr>
                <w:sz w:val="13"/>
                <w:szCs w:val="13"/>
              </w:rPr>
              <w:t>.</w:t>
            </w:r>
            <w:r w:rsidRPr="00FC44EB">
              <w:rPr>
                <w:sz w:val="13"/>
                <w:szCs w:val="13"/>
              </w:rPr>
              <w:t xml:space="preserve"> </w:t>
            </w:r>
          </w:p>
          <w:p w14:paraId="136ED472" w14:textId="049468ED" w:rsidR="00975835" w:rsidRPr="00FC44EB" w:rsidRDefault="007C378D" w:rsidP="0039020B">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t>In the event that there is a triage or disease severity test available that didn’t correlate with a specific pathogen</w:t>
            </w:r>
            <w:r w:rsidR="00AE38F9" w:rsidRPr="00FC44EB">
              <w:rPr>
                <w:sz w:val="13"/>
                <w:szCs w:val="13"/>
              </w:rPr>
              <w:t xml:space="preserve"> (e.g., procalcitonin)</w:t>
            </w:r>
            <w:r w:rsidRPr="00FC44EB">
              <w:rPr>
                <w:sz w:val="13"/>
                <w:szCs w:val="13"/>
              </w:rPr>
              <w:t>, then p</w:t>
            </w:r>
            <w:r w:rsidR="003209EA" w:rsidRPr="00FC44EB">
              <w:rPr>
                <w:sz w:val="13"/>
                <w:szCs w:val="13"/>
              </w:rPr>
              <w:t>er</w:t>
            </w:r>
            <w:r w:rsidRPr="00FC44EB">
              <w:rPr>
                <w:sz w:val="13"/>
                <w:szCs w:val="13"/>
              </w:rPr>
              <w:t>forming th</w:t>
            </w:r>
            <w:r w:rsidR="00147D85">
              <w:rPr>
                <w:sz w:val="13"/>
                <w:szCs w:val="13"/>
              </w:rPr>
              <w:t>at test along with a</w:t>
            </w:r>
            <w:r w:rsidRPr="00FC44EB">
              <w:rPr>
                <w:sz w:val="13"/>
                <w:szCs w:val="13"/>
              </w:rPr>
              <w:t xml:space="preserve"> differential diagnostic test could be </w:t>
            </w:r>
            <w:r w:rsidR="00147D85">
              <w:rPr>
                <w:sz w:val="13"/>
                <w:szCs w:val="13"/>
              </w:rPr>
              <w:t>a</w:t>
            </w:r>
            <w:r w:rsidRPr="00FC44EB">
              <w:rPr>
                <w:sz w:val="13"/>
                <w:szCs w:val="13"/>
              </w:rPr>
              <w:t xml:space="preserve"> useful</w:t>
            </w:r>
            <w:r w:rsidR="00147D85">
              <w:rPr>
                <w:sz w:val="13"/>
                <w:szCs w:val="13"/>
              </w:rPr>
              <w:t xml:space="preserve"> and </w:t>
            </w:r>
            <w:r w:rsidR="00573BFC">
              <w:rPr>
                <w:sz w:val="13"/>
                <w:szCs w:val="13"/>
              </w:rPr>
              <w:t>successful</w:t>
            </w:r>
            <w:r w:rsidR="00147D85">
              <w:rPr>
                <w:sz w:val="13"/>
                <w:szCs w:val="13"/>
              </w:rPr>
              <w:t xml:space="preserve"> approach</w:t>
            </w:r>
            <w:r w:rsidR="00DB3A0D" w:rsidRPr="00FC44EB">
              <w:rPr>
                <w:sz w:val="13"/>
                <w:szCs w:val="13"/>
              </w:rPr>
              <w:t>.</w:t>
            </w:r>
            <w:r w:rsidR="00975835" w:rsidRPr="00FC44EB">
              <w:rPr>
                <w:sz w:val="13"/>
                <w:szCs w:val="13"/>
              </w:rPr>
              <w:t xml:space="preserve"> </w:t>
            </w:r>
          </w:p>
          <w:p w14:paraId="4D6FCADE" w14:textId="0F06C10B" w:rsidR="005027FF" w:rsidRPr="00FC44EB" w:rsidRDefault="00652DA7" w:rsidP="003209EA">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3"/>
                <w:szCs w:val="13"/>
              </w:rPr>
            </w:pPr>
            <w:r w:rsidRPr="00FC44EB">
              <w:rPr>
                <w:sz w:val="13"/>
                <w:szCs w:val="13"/>
              </w:rPr>
              <w:lastRenderedPageBreak/>
              <w:t>Price</w:t>
            </w:r>
            <w:r w:rsidR="00B54D8C" w:rsidRPr="00FC44EB">
              <w:rPr>
                <w:sz w:val="13"/>
                <w:szCs w:val="13"/>
              </w:rPr>
              <w:t xml:space="preserve"> targets</w:t>
            </w:r>
            <w:r w:rsidR="00010E3A">
              <w:rPr>
                <w:sz w:val="13"/>
                <w:szCs w:val="13"/>
              </w:rPr>
              <w:t>*</w:t>
            </w:r>
            <w:r w:rsidR="00B54D8C" w:rsidRPr="00FC44EB">
              <w:rPr>
                <w:sz w:val="13"/>
                <w:szCs w:val="13"/>
              </w:rPr>
              <w:t xml:space="preserve"> are</w:t>
            </w:r>
            <w:r w:rsidR="00E22A3E" w:rsidRPr="00FC44EB">
              <w:rPr>
                <w:sz w:val="13"/>
                <w:szCs w:val="13"/>
              </w:rPr>
              <w:t xml:space="preserve"> somewhat higher than for a diagnostic test, </w:t>
            </w:r>
            <w:r w:rsidRPr="00FC44EB">
              <w:rPr>
                <w:sz w:val="13"/>
                <w:szCs w:val="13"/>
              </w:rPr>
              <w:t xml:space="preserve">in the </w:t>
            </w:r>
            <w:r w:rsidR="00E22A3E" w:rsidRPr="00FC44EB">
              <w:rPr>
                <w:sz w:val="13"/>
                <w:szCs w:val="13"/>
              </w:rPr>
              <w:t>$30-$120</w:t>
            </w:r>
            <w:r w:rsidRPr="00FC44EB">
              <w:rPr>
                <w:sz w:val="13"/>
                <w:szCs w:val="13"/>
              </w:rPr>
              <w:t xml:space="preserve"> </w:t>
            </w:r>
            <w:r w:rsidR="003209EA" w:rsidRPr="00FC44EB">
              <w:rPr>
                <w:sz w:val="13"/>
                <w:szCs w:val="13"/>
              </w:rPr>
              <w:t xml:space="preserve">USD </w:t>
            </w:r>
            <w:r w:rsidRPr="00FC44EB">
              <w:rPr>
                <w:sz w:val="13"/>
                <w:szCs w:val="13"/>
              </w:rPr>
              <w:t>range</w:t>
            </w:r>
            <w:r w:rsidR="00E22A3E" w:rsidRPr="00FC44EB">
              <w:rPr>
                <w:sz w:val="13"/>
                <w:szCs w:val="13"/>
              </w:rPr>
              <w:t>, depending on the number of targets included</w:t>
            </w:r>
            <w:r w:rsidRPr="00FC44EB">
              <w:rPr>
                <w:sz w:val="13"/>
                <w:szCs w:val="13"/>
              </w:rPr>
              <w:t xml:space="preserve"> and the assay technology used</w:t>
            </w:r>
            <w:r w:rsidR="00E22A3E" w:rsidRPr="00FC44EB">
              <w:rPr>
                <w:sz w:val="13"/>
                <w:szCs w:val="13"/>
              </w:rPr>
              <w:t xml:space="preserve">.  Less in LMICs.  </w:t>
            </w:r>
          </w:p>
        </w:tc>
      </w:tr>
      <w:tr w:rsidR="003D70C4" w:rsidRPr="00AD4071" w14:paraId="679EEB40" w14:textId="77777777" w:rsidTr="003D70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tcPr>
          <w:p w14:paraId="7C551027" w14:textId="007763FD" w:rsidR="002C5C94" w:rsidRPr="00FC44EB" w:rsidRDefault="00CA39FF" w:rsidP="00940A44">
            <w:pPr>
              <w:pStyle w:val="ListParagraph"/>
              <w:numPr>
                <w:ilvl w:val="0"/>
                <w:numId w:val="7"/>
              </w:numPr>
              <w:ind w:left="155" w:hanging="155"/>
              <w:rPr>
                <w:sz w:val="14"/>
                <w:szCs w:val="14"/>
              </w:rPr>
            </w:pPr>
            <w:r w:rsidRPr="00FC44EB">
              <w:rPr>
                <w:sz w:val="14"/>
                <w:szCs w:val="14"/>
              </w:rPr>
              <w:lastRenderedPageBreak/>
              <w:t xml:space="preserve">Previous </w:t>
            </w:r>
            <w:r w:rsidR="009C5E3F" w:rsidRPr="00FC44EB">
              <w:rPr>
                <w:sz w:val="14"/>
                <w:szCs w:val="14"/>
              </w:rPr>
              <w:t>SARS-CoV-2</w:t>
            </w:r>
            <w:r w:rsidRPr="00FC44EB">
              <w:rPr>
                <w:sz w:val="14"/>
                <w:szCs w:val="14"/>
              </w:rPr>
              <w:t xml:space="preserve"> exposure</w:t>
            </w:r>
          </w:p>
        </w:tc>
        <w:tc>
          <w:tcPr>
            <w:tcW w:w="974" w:type="pct"/>
          </w:tcPr>
          <w:p w14:paraId="6AA23E93" w14:textId="76B72899" w:rsidR="002C5C94" w:rsidRPr="00FC44EB" w:rsidRDefault="002C5C94" w:rsidP="00975835">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Intended for use to determine if an individual </w:t>
            </w:r>
            <w:r w:rsidR="009C5E3F" w:rsidRPr="00FC44EB">
              <w:rPr>
                <w:sz w:val="14"/>
                <w:szCs w:val="14"/>
              </w:rPr>
              <w:t xml:space="preserve">without symptoms </w:t>
            </w:r>
            <w:r w:rsidR="00B5432F" w:rsidRPr="00FC44EB">
              <w:rPr>
                <w:sz w:val="14"/>
                <w:szCs w:val="14"/>
              </w:rPr>
              <w:t>has previously been exposed</w:t>
            </w:r>
            <w:r w:rsidR="009C5E3F" w:rsidRPr="00FC44EB">
              <w:rPr>
                <w:sz w:val="14"/>
                <w:szCs w:val="14"/>
              </w:rPr>
              <w:t xml:space="preserve"> to</w:t>
            </w:r>
            <w:r w:rsidRPr="00FC44EB">
              <w:rPr>
                <w:sz w:val="14"/>
                <w:szCs w:val="14"/>
              </w:rPr>
              <w:t xml:space="preserve"> SARS-CoV-2</w:t>
            </w:r>
            <w:r w:rsidR="000F7F16">
              <w:rPr>
                <w:sz w:val="14"/>
                <w:szCs w:val="14"/>
              </w:rPr>
              <w:t xml:space="preserve"> virus</w:t>
            </w:r>
            <w:r w:rsidR="00DB3A0D" w:rsidRPr="00FC44EB">
              <w:rPr>
                <w:sz w:val="14"/>
                <w:szCs w:val="14"/>
              </w:rPr>
              <w:t>.</w:t>
            </w:r>
            <w:r w:rsidR="007C378D" w:rsidRPr="00FC44EB">
              <w:rPr>
                <w:sz w:val="14"/>
                <w:szCs w:val="14"/>
              </w:rPr>
              <w:t xml:space="preserve"> </w:t>
            </w:r>
          </w:p>
          <w:p w14:paraId="77384698" w14:textId="5BBB3680" w:rsidR="009C5E3F" w:rsidRPr="00FC44EB" w:rsidRDefault="009C5E3F" w:rsidP="00975835">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If the clinical data supports</w:t>
            </w:r>
            <w:r w:rsidR="006F32ED" w:rsidRPr="00FC44EB">
              <w:rPr>
                <w:sz w:val="14"/>
                <w:szCs w:val="14"/>
              </w:rPr>
              <w:t xml:space="preserve"> claims</w:t>
            </w:r>
            <w:r w:rsidR="00534A47">
              <w:rPr>
                <w:sz w:val="14"/>
                <w:szCs w:val="14"/>
              </w:rPr>
              <w:t xml:space="preserve"> that exposure highly correlated with protective immunity</w:t>
            </w:r>
            <w:r w:rsidRPr="00FC44EB">
              <w:rPr>
                <w:sz w:val="14"/>
                <w:szCs w:val="14"/>
              </w:rPr>
              <w:t xml:space="preserve">, such an individual would not </w:t>
            </w:r>
            <w:r w:rsidR="006F32ED" w:rsidRPr="00FC44EB">
              <w:rPr>
                <w:sz w:val="14"/>
                <w:szCs w:val="14"/>
              </w:rPr>
              <w:t>require</w:t>
            </w:r>
            <w:r w:rsidRPr="00FC44EB">
              <w:rPr>
                <w:sz w:val="14"/>
                <w:szCs w:val="14"/>
              </w:rPr>
              <w:t xml:space="preserve"> </w:t>
            </w:r>
            <w:r w:rsidR="00534A47">
              <w:rPr>
                <w:sz w:val="14"/>
                <w:szCs w:val="14"/>
              </w:rPr>
              <w:t>isolati</w:t>
            </w:r>
            <w:r w:rsidR="004B020F">
              <w:rPr>
                <w:sz w:val="14"/>
                <w:szCs w:val="14"/>
              </w:rPr>
              <w:t>on</w:t>
            </w:r>
            <w:r w:rsidRPr="00FC44EB">
              <w:rPr>
                <w:sz w:val="14"/>
                <w:szCs w:val="14"/>
              </w:rPr>
              <w:t xml:space="preserve"> and could </w:t>
            </w:r>
            <w:r w:rsidR="00B5432F" w:rsidRPr="00FC44EB">
              <w:rPr>
                <w:sz w:val="14"/>
                <w:szCs w:val="14"/>
              </w:rPr>
              <w:t>associate</w:t>
            </w:r>
            <w:r w:rsidR="006C15E4" w:rsidRPr="00FC44EB">
              <w:rPr>
                <w:sz w:val="14"/>
                <w:szCs w:val="14"/>
              </w:rPr>
              <w:t xml:space="preserve"> </w:t>
            </w:r>
            <w:r w:rsidRPr="00FC44EB">
              <w:rPr>
                <w:sz w:val="14"/>
                <w:szCs w:val="14"/>
              </w:rPr>
              <w:t xml:space="preserve">with </w:t>
            </w:r>
            <w:r w:rsidR="006F32ED" w:rsidRPr="00FC44EB">
              <w:rPr>
                <w:sz w:val="14"/>
                <w:szCs w:val="14"/>
              </w:rPr>
              <w:t xml:space="preserve">uninfected or </w:t>
            </w:r>
            <w:r w:rsidRPr="00FC44EB">
              <w:rPr>
                <w:sz w:val="14"/>
                <w:szCs w:val="14"/>
              </w:rPr>
              <w:t>infected individuals wit</w:t>
            </w:r>
            <w:r w:rsidR="006F32ED" w:rsidRPr="00FC44EB">
              <w:rPr>
                <w:sz w:val="14"/>
                <w:szCs w:val="14"/>
              </w:rPr>
              <w:t>h minimal</w:t>
            </w:r>
            <w:r w:rsidRPr="00FC44EB">
              <w:rPr>
                <w:sz w:val="14"/>
                <w:szCs w:val="14"/>
              </w:rPr>
              <w:t xml:space="preserve"> danger of </w:t>
            </w:r>
            <w:r w:rsidR="006F32ED" w:rsidRPr="00FC44EB">
              <w:rPr>
                <w:sz w:val="14"/>
                <w:szCs w:val="14"/>
              </w:rPr>
              <w:t xml:space="preserve">transmission or new </w:t>
            </w:r>
            <w:r w:rsidRPr="00FC44EB">
              <w:rPr>
                <w:sz w:val="14"/>
                <w:szCs w:val="14"/>
              </w:rPr>
              <w:t>infection</w:t>
            </w:r>
            <w:r w:rsidR="00DB3A0D" w:rsidRPr="00FC44EB">
              <w:rPr>
                <w:sz w:val="14"/>
                <w:szCs w:val="14"/>
              </w:rPr>
              <w:t>.</w:t>
            </w:r>
          </w:p>
          <w:p w14:paraId="66599B55" w14:textId="7DF1433E" w:rsidR="002C5C94" w:rsidRPr="00FC44EB" w:rsidRDefault="002C5C94" w:rsidP="00AD4071">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c>
          <w:tcPr>
            <w:tcW w:w="974" w:type="pct"/>
          </w:tcPr>
          <w:p w14:paraId="37C8AA0C" w14:textId="0D7C5E5D" w:rsidR="00051DA5" w:rsidRDefault="00534A47" w:rsidP="00975835">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Can</w:t>
            </w:r>
            <w:r w:rsidR="009C5E3F" w:rsidRPr="00FC44EB">
              <w:rPr>
                <w:sz w:val="14"/>
                <w:szCs w:val="14"/>
              </w:rPr>
              <w:t xml:space="preserve"> be performed with an ELISA </w:t>
            </w:r>
            <w:r w:rsidR="00DD331A" w:rsidRPr="00FC44EB">
              <w:rPr>
                <w:sz w:val="14"/>
                <w:szCs w:val="14"/>
              </w:rPr>
              <w:t xml:space="preserve">or similar test format </w:t>
            </w:r>
            <w:r w:rsidR="009C5E3F" w:rsidRPr="00FC44EB">
              <w:rPr>
                <w:sz w:val="14"/>
                <w:szCs w:val="14"/>
              </w:rPr>
              <w:t>in a lab setting</w:t>
            </w:r>
            <w:r w:rsidR="00DB3A0D" w:rsidRPr="00FC44EB">
              <w:rPr>
                <w:sz w:val="14"/>
                <w:szCs w:val="14"/>
              </w:rPr>
              <w:t>.</w:t>
            </w:r>
          </w:p>
          <w:p w14:paraId="4CAED614" w14:textId="438096FB" w:rsidR="00534A47" w:rsidRPr="00EF4222" w:rsidRDefault="00534A47" w:rsidP="00534A47">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A</w:t>
            </w:r>
            <w:r w:rsidRPr="00FC44EB">
              <w:rPr>
                <w:sz w:val="14"/>
                <w:szCs w:val="14"/>
              </w:rPr>
              <w:t xml:space="preserve"> simple LFA or similar RDT format</w:t>
            </w:r>
            <w:r>
              <w:rPr>
                <w:sz w:val="14"/>
                <w:szCs w:val="14"/>
              </w:rPr>
              <w:t xml:space="preserve"> could be useful in some </w:t>
            </w:r>
            <w:r w:rsidR="00921947">
              <w:rPr>
                <w:sz w:val="14"/>
                <w:szCs w:val="14"/>
              </w:rPr>
              <w:t xml:space="preserve">POC </w:t>
            </w:r>
            <w:r>
              <w:rPr>
                <w:sz w:val="14"/>
                <w:szCs w:val="14"/>
              </w:rPr>
              <w:t>circumstances</w:t>
            </w:r>
            <w:r w:rsidRPr="00FC44EB">
              <w:rPr>
                <w:sz w:val="14"/>
                <w:szCs w:val="14"/>
              </w:rPr>
              <w:t>.</w:t>
            </w:r>
          </w:p>
          <w:p w14:paraId="7DD14779" w14:textId="033C42AF" w:rsidR="00534A47" w:rsidRDefault="00534A47" w:rsidP="00051DA5">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For determination of immunity, a correlation between the specific reactivity with viral antigens (e.g., RBD, S1, S2, N) and antibody neutralization assays will be required. </w:t>
            </w:r>
          </w:p>
          <w:p w14:paraId="39D6E8D9" w14:textId="5EE754E4" w:rsidR="004B020F" w:rsidRPr="004B020F" w:rsidRDefault="004B020F" w:rsidP="004B020F">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If antibody titer is required, the test would need to be quantitative</w:t>
            </w:r>
          </w:p>
          <w:p w14:paraId="388A6902" w14:textId="045CFD47" w:rsidR="000F7F16" w:rsidRPr="00FC44EB" w:rsidRDefault="000F7F16" w:rsidP="000F7F16">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Information and communications technologies (ICT) to capture and report data for reporting to other stakeholders is needed (e.g. healthcare workers, MOH, Public Health, CDC, WHO </w:t>
            </w:r>
          </w:p>
          <w:p w14:paraId="16A8ECC4" w14:textId="446617E5" w:rsidR="002C5C94" w:rsidRPr="00FC44EB" w:rsidRDefault="00051DA5" w:rsidP="000F7F16">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 </w:t>
            </w:r>
          </w:p>
        </w:tc>
        <w:tc>
          <w:tcPr>
            <w:tcW w:w="812" w:type="pct"/>
          </w:tcPr>
          <w:p w14:paraId="0FE77FB0" w14:textId="0858D396" w:rsidR="002C5C94" w:rsidRDefault="009C5E3F"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 xml:space="preserve">For an ELISA test, venipuncture blood </w:t>
            </w:r>
            <w:r w:rsidR="00576DC7">
              <w:rPr>
                <w:sz w:val="14"/>
                <w:szCs w:val="14"/>
              </w:rPr>
              <w:t>is</w:t>
            </w:r>
            <w:r w:rsidRPr="00004C0A">
              <w:rPr>
                <w:sz w:val="14"/>
                <w:szCs w:val="14"/>
              </w:rPr>
              <w:t xml:space="preserve"> collected and shipped</w:t>
            </w:r>
            <w:r w:rsidR="00DB3A0D" w:rsidRPr="00004C0A">
              <w:rPr>
                <w:sz w:val="14"/>
                <w:szCs w:val="14"/>
              </w:rPr>
              <w:t>.</w:t>
            </w:r>
          </w:p>
          <w:p w14:paraId="7F5CCA14" w14:textId="77777777" w:rsidR="00EF4222" w:rsidRDefault="00576DC7" w:rsidP="00EF4222">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For LFA tests, finger prick blood is </w:t>
            </w:r>
            <w:r w:rsidRPr="00EF4222">
              <w:rPr>
                <w:sz w:val="14"/>
                <w:szCs w:val="14"/>
              </w:rPr>
              <w:t xml:space="preserve">preferred. </w:t>
            </w:r>
          </w:p>
          <w:p w14:paraId="698FC95B" w14:textId="30F342F7" w:rsidR="006F32ED" w:rsidRPr="00EF4222" w:rsidRDefault="006F32ED" w:rsidP="00EF4222">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EF4222">
              <w:rPr>
                <w:sz w:val="14"/>
                <w:szCs w:val="14"/>
              </w:rPr>
              <w:t xml:space="preserve">Oral fluid is an alternative if antibody concentrations are high enough but would </w:t>
            </w:r>
            <w:r w:rsidR="000F7F16" w:rsidRPr="00EF4222">
              <w:rPr>
                <w:sz w:val="14"/>
                <w:szCs w:val="14"/>
              </w:rPr>
              <w:t xml:space="preserve">likely </w:t>
            </w:r>
            <w:r w:rsidRPr="00EF4222">
              <w:rPr>
                <w:sz w:val="14"/>
                <w:szCs w:val="14"/>
              </w:rPr>
              <w:t>not be useful if a quantitative result is required</w:t>
            </w:r>
            <w:r w:rsidR="00DB3A0D" w:rsidRPr="00EF4222">
              <w:rPr>
                <w:sz w:val="14"/>
                <w:szCs w:val="14"/>
              </w:rPr>
              <w:t>.</w:t>
            </w:r>
            <w:r w:rsidRPr="00EF4222">
              <w:rPr>
                <w:sz w:val="14"/>
                <w:szCs w:val="14"/>
              </w:rPr>
              <w:t xml:space="preserve"> </w:t>
            </w:r>
          </w:p>
        </w:tc>
        <w:tc>
          <w:tcPr>
            <w:tcW w:w="1754" w:type="pct"/>
          </w:tcPr>
          <w:p w14:paraId="2A46E078" w14:textId="5AE97B11" w:rsidR="009E3DB5" w:rsidRDefault="00B5432F"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T</w:t>
            </w:r>
            <w:r w:rsidR="006C15E4" w:rsidRPr="00FC44EB">
              <w:rPr>
                <w:sz w:val="14"/>
                <w:szCs w:val="14"/>
              </w:rPr>
              <w:t>he test</w:t>
            </w:r>
            <w:r w:rsidR="00576DC7">
              <w:rPr>
                <w:sz w:val="14"/>
                <w:szCs w:val="14"/>
              </w:rPr>
              <w:t>s are typically</w:t>
            </w:r>
            <w:r w:rsidR="009C5E3F" w:rsidRPr="00FC44EB">
              <w:rPr>
                <w:sz w:val="14"/>
                <w:szCs w:val="14"/>
              </w:rPr>
              <w:t xml:space="preserve"> </w:t>
            </w:r>
            <w:r w:rsidRPr="00FC44EB">
              <w:rPr>
                <w:sz w:val="14"/>
                <w:szCs w:val="14"/>
              </w:rPr>
              <w:t xml:space="preserve">SARS-CoV-2 </w:t>
            </w:r>
            <w:r w:rsidR="001573EF">
              <w:rPr>
                <w:sz w:val="14"/>
                <w:szCs w:val="14"/>
              </w:rPr>
              <w:t>virus-</w:t>
            </w:r>
            <w:r w:rsidRPr="00FC44EB">
              <w:rPr>
                <w:sz w:val="14"/>
                <w:szCs w:val="14"/>
              </w:rPr>
              <w:t xml:space="preserve">specific </w:t>
            </w:r>
            <w:r w:rsidR="009E3DB5">
              <w:rPr>
                <w:sz w:val="14"/>
                <w:szCs w:val="14"/>
              </w:rPr>
              <w:t xml:space="preserve">IgA, </w:t>
            </w:r>
            <w:r w:rsidR="001573EF">
              <w:rPr>
                <w:sz w:val="14"/>
                <w:szCs w:val="14"/>
              </w:rPr>
              <w:t xml:space="preserve">IgM and/or </w:t>
            </w:r>
            <w:r w:rsidR="009C5E3F" w:rsidRPr="00FC44EB">
              <w:rPr>
                <w:sz w:val="14"/>
                <w:szCs w:val="14"/>
              </w:rPr>
              <w:t>IgG</w:t>
            </w:r>
            <w:r w:rsidR="001573EF">
              <w:rPr>
                <w:sz w:val="14"/>
                <w:szCs w:val="14"/>
              </w:rPr>
              <w:t xml:space="preserve"> ant</w:t>
            </w:r>
            <w:r w:rsidR="009E3DB5">
              <w:rPr>
                <w:sz w:val="14"/>
                <w:szCs w:val="14"/>
              </w:rPr>
              <w:t>i</w:t>
            </w:r>
            <w:r w:rsidR="001573EF">
              <w:rPr>
                <w:sz w:val="14"/>
                <w:szCs w:val="14"/>
              </w:rPr>
              <w:t>body</w:t>
            </w:r>
            <w:r w:rsidR="00051DA5" w:rsidRPr="00FC44EB">
              <w:rPr>
                <w:sz w:val="14"/>
                <w:szCs w:val="14"/>
              </w:rPr>
              <w:t xml:space="preserve"> detection</w:t>
            </w:r>
            <w:r w:rsidRPr="00FC44EB">
              <w:rPr>
                <w:sz w:val="14"/>
                <w:szCs w:val="14"/>
              </w:rPr>
              <w:t xml:space="preserve"> assay</w:t>
            </w:r>
            <w:r w:rsidR="00576DC7">
              <w:rPr>
                <w:sz w:val="14"/>
                <w:szCs w:val="14"/>
              </w:rPr>
              <w:t>s</w:t>
            </w:r>
            <w:r w:rsidRPr="00FC44EB">
              <w:rPr>
                <w:sz w:val="14"/>
                <w:szCs w:val="14"/>
              </w:rPr>
              <w:t>.</w:t>
            </w:r>
            <w:r w:rsidR="001573EF">
              <w:rPr>
                <w:sz w:val="14"/>
                <w:szCs w:val="14"/>
              </w:rPr>
              <w:t xml:space="preserve">  </w:t>
            </w:r>
            <w:r w:rsidR="009E3DB5">
              <w:rPr>
                <w:sz w:val="14"/>
                <w:szCs w:val="14"/>
              </w:rPr>
              <w:t>At this time IgG is the preferred immunoglobulin due to longer term (</w:t>
            </w:r>
            <w:r w:rsidR="00C53EB7">
              <w:rPr>
                <w:sz w:val="14"/>
                <w:szCs w:val="14"/>
              </w:rPr>
              <w:t xml:space="preserve">at least </w:t>
            </w:r>
            <w:r w:rsidR="009E3DB5">
              <w:rPr>
                <w:sz w:val="14"/>
                <w:szCs w:val="14"/>
              </w:rPr>
              <w:t xml:space="preserve">weeks) detection versus IgA and IgM. </w:t>
            </w:r>
            <w:r w:rsidR="00576DC7">
              <w:rPr>
                <w:sz w:val="14"/>
                <w:szCs w:val="14"/>
              </w:rPr>
              <w:t>However, IgA and IgM can be useful for disease staging.</w:t>
            </w:r>
          </w:p>
          <w:p w14:paraId="0812CA42" w14:textId="4156F031" w:rsidR="00051DA5" w:rsidRPr="00FC44EB" w:rsidRDefault="001573EF"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Multiple virus proteins </w:t>
            </w:r>
            <w:r w:rsidR="009E3DB5">
              <w:rPr>
                <w:sz w:val="14"/>
                <w:szCs w:val="14"/>
              </w:rPr>
              <w:t xml:space="preserve">and protein segments </w:t>
            </w:r>
            <w:r>
              <w:rPr>
                <w:sz w:val="14"/>
                <w:szCs w:val="14"/>
              </w:rPr>
              <w:t xml:space="preserve">are </w:t>
            </w:r>
            <w:r w:rsidR="00576DC7">
              <w:rPr>
                <w:sz w:val="14"/>
                <w:szCs w:val="14"/>
              </w:rPr>
              <w:t>used</w:t>
            </w:r>
            <w:r>
              <w:rPr>
                <w:sz w:val="14"/>
                <w:szCs w:val="14"/>
              </w:rPr>
              <w:t xml:space="preserve"> for evaluation, including spike and nucleocapsid proteins. </w:t>
            </w:r>
            <w:r w:rsidR="00576DC7">
              <w:rPr>
                <w:sz w:val="14"/>
                <w:szCs w:val="14"/>
              </w:rPr>
              <w:t xml:space="preserve">Inactivated virus isolates are also employed. </w:t>
            </w:r>
          </w:p>
          <w:p w14:paraId="2C78D4A2" w14:textId="3F495966" w:rsidR="00B5432F" w:rsidRPr="00FC44EB" w:rsidRDefault="00B5432F" w:rsidP="00B5432F">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Determining recency of infection </w:t>
            </w:r>
            <w:r w:rsidR="00576DC7">
              <w:rPr>
                <w:sz w:val="14"/>
                <w:szCs w:val="14"/>
              </w:rPr>
              <w:t>can</w:t>
            </w:r>
            <w:r w:rsidRPr="00FC44EB">
              <w:rPr>
                <w:sz w:val="14"/>
                <w:szCs w:val="14"/>
              </w:rPr>
              <w:t xml:space="preserve"> be helpful in determining whether an individual was previously infected with SARS-CoV-2 (e.g., </w:t>
            </w:r>
            <w:r w:rsidR="00C53EB7">
              <w:rPr>
                <w:sz w:val="14"/>
                <w:szCs w:val="14"/>
              </w:rPr>
              <w:t xml:space="preserve">IgA and </w:t>
            </w:r>
            <w:r w:rsidRPr="00FC44EB">
              <w:rPr>
                <w:sz w:val="14"/>
                <w:szCs w:val="14"/>
              </w:rPr>
              <w:t>IgM).</w:t>
            </w:r>
          </w:p>
          <w:p w14:paraId="5F34985F" w14:textId="2BCD7404" w:rsidR="00576DC7" w:rsidRDefault="00B5432F" w:rsidP="00B5432F">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 xml:space="preserve">Given </w:t>
            </w:r>
            <w:r w:rsidR="00576DC7">
              <w:rPr>
                <w:sz w:val="14"/>
                <w:szCs w:val="14"/>
              </w:rPr>
              <w:t xml:space="preserve">the </w:t>
            </w:r>
            <w:r w:rsidRPr="00FC44EB">
              <w:rPr>
                <w:sz w:val="14"/>
                <w:szCs w:val="14"/>
              </w:rPr>
              <w:t xml:space="preserve">potential </w:t>
            </w:r>
            <w:r w:rsidR="00576DC7">
              <w:rPr>
                <w:sz w:val="14"/>
                <w:szCs w:val="14"/>
              </w:rPr>
              <w:t xml:space="preserve">of </w:t>
            </w:r>
            <w:r w:rsidRPr="00FC44EB">
              <w:rPr>
                <w:sz w:val="14"/>
                <w:szCs w:val="14"/>
              </w:rPr>
              <w:t xml:space="preserve">transmission of the virus days </w:t>
            </w:r>
            <w:r w:rsidR="00576DC7" w:rsidRPr="00FC44EB">
              <w:rPr>
                <w:sz w:val="14"/>
                <w:szCs w:val="14"/>
              </w:rPr>
              <w:t>after</w:t>
            </w:r>
            <w:r w:rsidR="00576DC7">
              <w:rPr>
                <w:sz w:val="14"/>
                <w:szCs w:val="14"/>
              </w:rPr>
              <w:t xml:space="preserve"> symptoms have ceased</w:t>
            </w:r>
            <w:r w:rsidRPr="00FC44EB">
              <w:rPr>
                <w:sz w:val="14"/>
                <w:szCs w:val="14"/>
              </w:rPr>
              <w:t xml:space="preserve">, it is possible that a viral clearance test </w:t>
            </w:r>
            <w:r w:rsidR="001573EF">
              <w:rPr>
                <w:sz w:val="14"/>
                <w:szCs w:val="14"/>
              </w:rPr>
              <w:t xml:space="preserve">(e.g., an RNA or potentially an antigen test) </w:t>
            </w:r>
            <w:r w:rsidRPr="00FC44EB">
              <w:rPr>
                <w:sz w:val="14"/>
                <w:szCs w:val="14"/>
              </w:rPr>
              <w:t>will be necessary in conjunction with an antibody test to determine that the infection has been resolved</w:t>
            </w:r>
            <w:r w:rsidR="000F7F16">
              <w:rPr>
                <w:sz w:val="14"/>
                <w:szCs w:val="14"/>
              </w:rPr>
              <w:t xml:space="preserve"> and the subject is no longer infectious</w:t>
            </w:r>
            <w:r w:rsidR="00C53EB7">
              <w:rPr>
                <w:sz w:val="14"/>
                <w:szCs w:val="14"/>
              </w:rPr>
              <w:t xml:space="preserve">. </w:t>
            </w:r>
          </w:p>
          <w:p w14:paraId="0F9456C6" w14:textId="4EF782EE" w:rsidR="00576DC7" w:rsidRDefault="00576DC7" w:rsidP="00B5432F">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Since many people </w:t>
            </w:r>
            <w:r w:rsidR="007C6BCE">
              <w:rPr>
                <w:sz w:val="14"/>
                <w:szCs w:val="14"/>
              </w:rPr>
              <w:t xml:space="preserve">infected with SARS-CoV-2 </w:t>
            </w:r>
            <w:r>
              <w:rPr>
                <w:sz w:val="14"/>
                <w:szCs w:val="14"/>
              </w:rPr>
              <w:t xml:space="preserve">are asymptomatic, </w:t>
            </w:r>
            <w:r w:rsidR="007C6BCE">
              <w:rPr>
                <w:sz w:val="14"/>
                <w:szCs w:val="14"/>
              </w:rPr>
              <w:t xml:space="preserve">tests of </w:t>
            </w:r>
            <w:r>
              <w:rPr>
                <w:sz w:val="14"/>
                <w:szCs w:val="14"/>
              </w:rPr>
              <w:t>viral clearance of antibody positive person</w:t>
            </w:r>
            <w:r w:rsidR="007C6BCE">
              <w:rPr>
                <w:sz w:val="14"/>
                <w:szCs w:val="14"/>
              </w:rPr>
              <w:t>s</w:t>
            </w:r>
            <w:r>
              <w:rPr>
                <w:sz w:val="14"/>
                <w:szCs w:val="14"/>
              </w:rPr>
              <w:t xml:space="preserve"> are also potentially useful to </w:t>
            </w:r>
            <w:r w:rsidR="007C6BCE">
              <w:rPr>
                <w:sz w:val="14"/>
                <w:szCs w:val="14"/>
              </w:rPr>
              <w:t>determine</w:t>
            </w:r>
            <w:r>
              <w:rPr>
                <w:sz w:val="14"/>
                <w:szCs w:val="14"/>
              </w:rPr>
              <w:t xml:space="preserve"> that the</w:t>
            </w:r>
            <w:r w:rsidR="007C6BCE">
              <w:rPr>
                <w:sz w:val="14"/>
                <w:szCs w:val="14"/>
              </w:rPr>
              <w:t xml:space="preserve"> subjects</w:t>
            </w:r>
            <w:r>
              <w:rPr>
                <w:sz w:val="14"/>
                <w:szCs w:val="14"/>
              </w:rPr>
              <w:t xml:space="preserve"> are not </w:t>
            </w:r>
            <w:r w:rsidR="007C6BCE">
              <w:rPr>
                <w:sz w:val="14"/>
                <w:szCs w:val="14"/>
              </w:rPr>
              <w:t xml:space="preserve">currently </w:t>
            </w:r>
            <w:r>
              <w:rPr>
                <w:sz w:val="14"/>
                <w:szCs w:val="14"/>
              </w:rPr>
              <w:t xml:space="preserve">contagious </w:t>
            </w:r>
          </w:p>
          <w:p w14:paraId="6709C9D0" w14:textId="0BFB55B1" w:rsidR="00B5432F" w:rsidRPr="00FC44EB" w:rsidRDefault="00C53EB7" w:rsidP="00B5432F">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It is </w:t>
            </w:r>
            <w:r w:rsidR="00576DC7">
              <w:rPr>
                <w:sz w:val="14"/>
                <w:szCs w:val="14"/>
              </w:rPr>
              <w:t>probable</w:t>
            </w:r>
            <w:r>
              <w:rPr>
                <w:sz w:val="14"/>
                <w:szCs w:val="14"/>
              </w:rPr>
              <w:t xml:space="preserve"> that new tests will be necessary to provide </w:t>
            </w:r>
            <w:r w:rsidR="00AE64F5">
              <w:rPr>
                <w:sz w:val="14"/>
                <w:szCs w:val="14"/>
              </w:rPr>
              <w:t xml:space="preserve">test results </w:t>
            </w:r>
            <w:r>
              <w:rPr>
                <w:sz w:val="14"/>
                <w:szCs w:val="14"/>
              </w:rPr>
              <w:t xml:space="preserve">that differentiate infectious from non-infectious RNA in clinical samples (e.g., genomic vs sub-genomic RNA fragments). </w:t>
            </w:r>
          </w:p>
          <w:p w14:paraId="58A5A5CA" w14:textId="21CA715A" w:rsidR="00B5432F" w:rsidRDefault="007C6BCE"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It would</w:t>
            </w:r>
            <w:r w:rsidR="00B5432F" w:rsidRPr="00FC44EB">
              <w:rPr>
                <w:sz w:val="14"/>
                <w:szCs w:val="14"/>
              </w:rPr>
              <w:t xml:space="preserve"> be quite valuable to use </w:t>
            </w:r>
            <w:r>
              <w:rPr>
                <w:sz w:val="14"/>
                <w:szCs w:val="14"/>
              </w:rPr>
              <w:t>properly designed</w:t>
            </w:r>
            <w:r w:rsidR="00B5432F" w:rsidRPr="00FC44EB">
              <w:rPr>
                <w:sz w:val="14"/>
                <w:szCs w:val="14"/>
              </w:rPr>
              <w:t xml:space="preserve"> test</w:t>
            </w:r>
            <w:r>
              <w:rPr>
                <w:sz w:val="14"/>
                <w:szCs w:val="14"/>
              </w:rPr>
              <w:t>s</w:t>
            </w:r>
            <w:r w:rsidR="00B5432F" w:rsidRPr="00FC44EB">
              <w:rPr>
                <w:sz w:val="14"/>
                <w:szCs w:val="14"/>
              </w:rPr>
              <w:t xml:space="preserve"> to assess protective immunity</w:t>
            </w:r>
            <w:r>
              <w:rPr>
                <w:sz w:val="14"/>
                <w:szCs w:val="14"/>
              </w:rPr>
              <w:t xml:space="preserve"> (e.g., detection of epitopes associated with antibody viral neutralization assays). </w:t>
            </w:r>
          </w:p>
          <w:p w14:paraId="530C0009" w14:textId="260D7084" w:rsidR="009C5E3F" w:rsidRPr="00FC44EB" w:rsidRDefault="006C15E4"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FC44EB">
              <w:rPr>
                <w:sz w:val="14"/>
                <w:szCs w:val="14"/>
              </w:rPr>
              <w:t>If</w:t>
            </w:r>
            <w:r w:rsidR="00051DA5" w:rsidRPr="00FC44EB">
              <w:rPr>
                <w:sz w:val="14"/>
                <w:szCs w:val="14"/>
              </w:rPr>
              <w:t xml:space="preserve"> immunity is temporary and the antibody clears after a few month</w:t>
            </w:r>
            <w:r w:rsidRPr="00FC44EB">
              <w:rPr>
                <w:sz w:val="14"/>
                <w:szCs w:val="14"/>
              </w:rPr>
              <w:t>s,</w:t>
            </w:r>
            <w:r w:rsidR="00051DA5" w:rsidRPr="00FC44EB">
              <w:rPr>
                <w:sz w:val="14"/>
                <w:szCs w:val="14"/>
              </w:rPr>
              <w:t xml:space="preserve"> it might be necessary to </w:t>
            </w:r>
            <w:r w:rsidRPr="00FC44EB">
              <w:rPr>
                <w:sz w:val="14"/>
                <w:szCs w:val="14"/>
              </w:rPr>
              <w:t xml:space="preserve">measure the antibody </w:t>
            </w:r>
            <w:r w:rsidR="00051DA5" w:rsidRPr="00FC44EB">
              <w:rPr>
                <w:sz w:val="14"/>
                <w:szCs w:val="14"/>
              </w:rPr>
              <w:t>tite</w:t>
            </w:r>
            <w:r w:rsidRPr="00FC44EB">
              <w:rPr>
                <w:sz w:val="14"/>
                <w:szCs w:val="14"/>
              </w:rPr>
              <w:t xml:space="preserve">r. This approach would require that </w:t>
            </w:r>
            <w:r w:rsidR="00051DA5" w:rsidRPr="00FC44EB">
              <w:rPr>
                <w:sz w:val="14"/>
                <w:szCs w:val="14"/>
              </w:rPr>
              <w:t xml:space="preserve">the </w:t>
            </w:r>
            <w:r w:rsidR="006F32ED" w:rsidRPr="00FC44EB">
              <w:rPr>
                <w:sz w:val="14"/>
                <w:szCs w:val="14"/>
              </w:rPr>
              <w:t xml:space="preserve">effective </w:t>
            </w:r>
            <w:r w:rsidR="00051DA5" w:rsidRPr="00FC44EB">
              <w:rPr>
                <w:sz w:val="14"/>
                <w:szCs w:val="14"/>
              </w:rPr>
              <w:t>titer is not too variable</w:t>
            </w:r>
            <w:r w:rsidR="006F32ED" w:rsidRPr="00FC44EB">
              <w:rPr>
                <w:sz w:val="14"/>
                <w:szCs w:val="14"/>
              </w:rPr>
              <w:t xml:space="preserve"> from person to person</w:t>
            </w:r>
            <w:r w:rsidR="001573EF">
              <w:rPr>
                <w:sz w:val="14"/>
                <w:szCs w:val="14"/>
              </w:rPr>
              <w:t xml:space="preserve"> and that a test format </w:t>
            </w:r>
            <w:r w:rsidR="00C53EB7">
              <w:rPr>
                <w:sz w:val="14"/>
                <w:szCs w:val="14"/>
              </w:rPr>
              <w:t xml:space="preserve">is </w:t>
            </w:r>
            <w:r w:rsidR="001573EF">
              <w:rPr>
                <w:sz w:val="14"/>
                <w:szCs w:val="14"/>
              </w:rPr>
              <w:t>capable of delivering quantitative or semi-quantitative results</w:t>
            </w:r>
            <w:r w:rsidR="007C6BCE">
              <w:rPr>
                <w:sz w:val="14"/>
                <w:szCs w:val="14"/>
              </w:rPr>
              <w:t>.</w:t>
            </w:r>
            <w:r w:rsidR="001573EF">
              <w:rPr>
                <w:sz w:val="14"/>
                <w:szCs w:val="14"/>
              </w:rPr>
              <w:t xml:space="preserve"> </w:t>
            </w:r>
          </w:p>
          <w:p w14:paraId="1AE0FF5E" w14:textId="68CFE695" w:rsidR="00051DA5" w:rsidRPr="00FC44EB" w:rsidRDefault="00051DA5"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color w:val="000000" w:themeColor="text1"/>
                <w:sz w:val="14"/>
                <w:szCs w:val="14"/>
              </w:rPr>
            </w:pPr>
            <w:r w:rsidRPr="00FC44EB">
              <w:rPr>
                <w:sz w:val="14"/>
                <w:szCs w:val="14"/>
              </w:rPr>
              <w:t>It is conceivable that</w:t>
            </w:r>
            <w:r w:rsidR="006C15E4" w:rsidRPr="00FC44EB">
              <w:rPr>
                <w:sz w:val="14"/>
                <w:szCs w:val="14"/>
              </w:rPr>
              <w:t xml:space="preserve"> it will </w:t>
            </w:r>
            <w:r w:rsidR="006C15E4" w:rsidRPr="00FC44EB">
              <w:rPr>
                <w:color w:val="000000" w:themeColor="text1"/>
                <w:sz w:val="14"/>
                <w:szCs w:val="14"/>
              </w:rPr>
              <w:t>be necessary to assess</w:t>
            </w:r>
            <w:r w:rsidRPr="00FC44EB">
              <w:rPr>
                <w:color w:val="000000" w:themeColor="text1"/>
                <w:sz w:val="14"/>
                <w:szCs w:val="14"/>
              </w:rPr>
              <w:t xml:space="preserve"> IgG subclasses</w:t>
            </w:r>
            <w:r w:rsidR="006C15E4" w:rsidRPr="00FC44EB">
              <w:rPr>
                <w:color w:val="000000" w:themeColor="text1"/>
                <w:sz w:val="14"/>
                <w:szCs w:val="14"/>
              </w:rPr>
              <w:t>.</w:t>
            </w:r>
            <w:r w:rsidRPr="00FC44EB">
              <w:rPr>
                <w:color w:val="000000" w:themeColor="text1"/>
                <w:sz w:val="14"/>
                <w:szCs w:val="14"/>
              </w:rPr>
              <w:t xml:space="preserve"> </w:t>
            </w:r>
          </w:p>
          <w:p w14:paraId="3B39E807" w14:textId="16960EBB" w:rsidR="00DD331A" w:rsidRPr="00FC44EB" w:rsidRDefault="00DD331A"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color w:val="000000" w:themeColor="text1"/>
                <w:sz w:val="14"/>
                <w:szCs w:val="14"/>
              </w:rPr>
            </w:pPr>
            <w:r w:rsidRPr="00FC44EB">
              <w:rPr>
                <w:color w:val="000000" w:themeColor="text1"/>
                <w:sz w:val="14"/>
                <w:szCs w:val="14"/>
              </w:rPr>
              <w:t xml:space="preserve">In the event that quantification of antibodies will be necessary, </w:t>
            </w:r>
            <w:r w:rsidR="001573EF">
              <w:rPr>
                <w:color w:val="000000" w:themeColor="text1"/>
                <w:sz w:val="14"/>
                <w:szCs w:val="14"/>
              </w:rPr>
              <w:t>an</w:t>
            </w:r>
            <w:r w:rsidR="00C53EB7">
              <w:rPr>
                <w:color w:val="000000" w:themeColor="text1"/>
                <w:sz w:val="14"/>
                <w:szCs w:val="14"/>
              </w:rPr>
              <w:t xml:space="preserve"> </w:t>
            </w:r>
            <w:r w:rsidRPr="00FC44EB">
              <w:rPr>
                <w:color w:val="000000" w:themeColor="text1"/>
                <w:sz w:val="14"/>
                <w:szCs w:val="14"/>
              </w:rPr>
              <w:t xml:space="preserve">ELISA (or equivalent) format </w:t>
            </w:r>
            <w:r w:rsidR="001573EF">
              <w:rPr>
                <w:color w:val="000000" w:themeColor="text1"/>
                <w:sz w:val="14"/>
                <w:szCs w:val="14"/>
              </w:rPr>
              <w:t>may be</w:t>
            </w:r>
            <w:r w:rsidR="006C15E4" w:rsidRPr="00FC44EB">
              <w:rPr>
                <w:color w:val="000000" w:themeColor="text1"/>
                <w:sz w:val="14"/>
                <w:szCs w:val="14"/>
              </w:rPr>
              <w:t xml:space="preserve"> easier to develop than </w:t>
            </w:r>
            <w:r w:rsidRPr="00FC44EB">
              <w:rPr>
                <w:color w:val="000000" w:themeColor="text1"/>
                <w:sz w:val="14"/>
                <w:szCs w:val="14"/>
              </w:rPr>
              <w:t>a quantitative LFA or similar RD</w:t>
            </w:r>
            <w:r w:rsidR="005027FF" w:rsidRPr="00FC44EB">
              <w:rPr>
                <w:color w:val="000000" w:themeColor="text1"/>
                <w:sz w:val="14"/>
                <w:szCs w:val="14"/>
              </w:rPr>
              <w:t>T</w:t>
            </w:r>
            <w:r w:rsidR="00DB3A0D" w:rsidRPr="00FC44EB">
              <w:rPr>
                <w:color w:val="000000" w:themeColor="text1"/>
                <w:sz w:val="14"/>
                <w:szCs w:val="14"/>
              </w:rPr>
              <w:t>.</w:t>
            </w:r>
          </w:p>
          <w:p w14:paraId="3CBD2141" w14:textId="00CD9F21" w:rsidR="00923970" w:rsidRPr="00FC44EB" w:rsidRDefault="00923970"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color w:val="000000" w:themeColor="text1"/>
                <w:sz w:val="14"/>
                <w:szCs w:val="14"/>
              </w:rPr>
            </w:pPr>
            <w:r w:rsidRPr="00FC44EB">
              <w:rPr>
                <w:color w:val="000000" w:themeColor="text1"/>
                <w:sz w:val="14"/>
                <w:szCs w:val="14"/>
              </w:rPr>
              <w:t xml:space="preserve">It could be useful to conduct serology studies in a cohort of </w:t>
            </w:r>
            <w:r w:rsidR="00E36E7D">
              <w:rPr>
                <w:color w:val="000000" w:themeColor="text1"/>
                <w:sz w:val="14"/>
                <w:szCs w:val="14"/>
              </w:rPr>
              <w:t>convalescent</w:t>
            </w:r>
            <w:r w:rsidRPr="00FC44EB">
              <w:rPr>
                <w:color w:val="000000" w:themeColor="text1"/>
                <w:sz w:val="14"/>
                <w:szCs w:val="14"/>
              </w:rPr>
              <w:t xml:space="preserve"> patients to monitor antibody titers and immunity over time</w:t>
            </w:r>
            <w:r w:rsidR="00DB3A0D" w:rsidRPr="00FC44EB">
              <w:rPr>
                <w:color w:val="000000" w:themeColor="text1"/>
                <w:sz w:val="14"/>
                <w:szCs w:val="14"/>
              </w:rPr>
              <w:t>.</w:t>
            </w:r>
          </w:p>
          <w:p w14:paraId="3F147818" w14:textId="3D466C7F" w:rsidR="004F5FD1" w:rsidRPr="00FC44EB" w:rsidRDefault="004F5FD1" w:rsidP="00975835">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color w:val="000000" w:themeColor="text1"/>
                <w:sz w:val="14"/>
                <w:szCs w:val="14"/>
              </w:rPr>
            </w:pPr>
            <w:r w:rsidRPr="00FC44EB">
              <w:rPr>
                <w:color w:val="000000" w:themeColor="text1"/>
                <w:sz w:val="14"/>
                <w:szCs w:val="14"/>
              </w:rPr>
              <w:t xml:space="preserve">Once </w:t>
            </w:r>
            <w:r w:rsidR="00AE6CB9" w:rsidRPr="00FC44EB">
              <w:rPr>
                <w:color w:val="000000" w:themeColor="text1"/>
                <w:sz w:val="14"/>
                <w:szCs w:val="14"/>
              </w:rPr>
              <w:t>vaccines are developed and widely used, there could become challenges to differentiating natural immunity from successful vaccination</w:t>
            </w:r>
            <w:r w:rsidR="00AC48DF" w:rsidRPr="00FC44EB">
              <w:rPr>
                <w:color w:val="000000" w:themeColor="text1"/>
                <w:sz w:val="14"/>
                <w:szCs w:val="14"/>
              </w:rPr>
              <w:t>.</w:t>
            </w:r>
          </w:p>
          <w:p w14:paraId="4C2CA411" w14:textId="2AA29BA6" w:rsidR="005027FF" w:rsidRPr="00FC44EB" w:rsidRDefault="005027FF" w:rsidP="005027FF">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r>
      <w:tr w:rsidR="003D70C4" w:rsidRPr="00AD4071" w14:paraId="7999FD07" w14:textId="77777777" w:rsidTr="003D70C4">
        <w:trPr>
          <w:cantSplit/>
        </w:trPr>
        <w:tc>
          <w:tcPr>
            <w:cnfStyle w:val="001000000000" w:firstRow="0" w:lastRow="0" w:firstColumn="1" w:lastColumn="0" w:oddVBand="0" w:evenVBand="0" w:oddHBand="0" w:evenHBand="0" w:firstRowFirstColumn="0" w:firstRowLastColumn="0" w:lastRowFirstColumn="0" w:lastRowLastColumn="0"/>
            <w:tcW w:w="485" w:type="pct"/>
          </w:tcPr>
          <w:p w14:paraId="3225EFEA" w14:textId="53E5FA0D" w:rsidR="00F57E58" w:rsidRPr="00FC44EB" w:rsidRDefault="00F57E58" w:rsidP="00940A44">
            <w:pPr>
              <w:pStyle w:val="ListParagraph"/>
              <w:numPr>
                <w:ilvl w:val="0"/>
                <w:numId w:val="7"/>
              </w:numPr>
              <w:ind w:left="155" w:hanging="155"/>
              <w:rPr>
                <w:sz w:val="14"/>
                <w:szCs w:val="14"/>
              </w:rPr>
            </w:pPr>
            <w:r w:rsidRPr="00FC44EB">
              <w:rPr>
                <w:sz w:val="14"/>
                <w:szCs w:val="14"/>
              </w:rPr>
              <w:lastRenderedPageBreak/>
              <w:t xml:space="preserve">Surveillance in </w:t>
            </w:r>
            <w:r w:rsidR="004503B2" w:rsidRPr="00FC44EB">
              <w:rPr>
                <w:sz w:val="14"/>
                <w:szCs w:val="14"/>
              </w:rPr>
              <w:t>s</w:t>
            </w:r>
            <w:r w:rsidRPr="00FC44EB">
              <w:rPr>
                <w:sz w:val="14"/>
                <w:szCs w:val="14"/>
              </w:rPr>
              <w:t xml:space="preserve">ites of </w:t>
            </w:r>
            <w:r w:rsidR="004503B2" w:rsidRPr="00FC44EB">
              <w:rPr>
                <w:sz w:val="14"/>
                <w:szCs w:val="14"/>
              </w:rPr>
              <w:t>p</w:t>
            </w:r>
            <w:r w:rsidRPr="00FC44EB">
              <w:rPr>
                <w:sz w:val="14"/>
                <w:szCs w:val="14"/>
              </w:rPr>
              <w:t xml:space="preserve">revious or </w:t>
            </w:r>
            <w:r w:rsidR="004503B2" w:rsidRPr="00FC44EB">
              <w:rPr>
                <w:sz w:val="14"/>
                <w:szCs w:val="14"/>
              </w:rPr>
              <w:t>p</w:t>
            </w:r>
            <w:r w:rsidRPr="00FC44EB">
              <w:rPr>
                <w:sz w:val="14"/>
                <w:szCs w:val="14"/>
              </w:rPr>
              <w:t xml:space="preserve">otential </w:t>
            </w:r>
            <w:r w:rsidR="004503B2" w:rsidRPr="00FC44EB">
              <w:rPr>
                <w:sz w:val="14"/>
                <w:szCs w:val="14"/>
              </w:rPr>
              <w:t>o</w:t>
            </w:r>
            <w:r w:rsidRPr="00FC44EB">
              <w:rPr>
                <w:sz w:val="14"/>
                <w:szCs w:val="14"/>
              </w:rPr>
              <w:t xml:space="preserve">utbreaks </w:t>
            </w:r>
          </w:p>
        </w:tc>
        <w:tc>
          <w:tcPr>
            <w:tcW w:w="974" w:type="pct"/>
          </w:tcPr>
          <w:p w14:paraId="549CE738" w14:textId="1EB75DDA" w:rsidR="0034199C" w:rsidRPr="000446B4" w:rsidRDefault="00F57E58"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rFonts w:cs="Times New Roman (Body CS)"/>
                <w:sz w:val="14"/>
                <w:szCs w:val="14"/>
              </w:rPr>
            </w:pPr>
            <w:r w:rsidRPr="0034199C">
              <w:rPr>
                <w:rFonts w:cs="Times New Roman (Body CS)"/>
                <w:sz w:val="14"/>
                <w:szCs w:val="14"/>
              </w:rPr>
              <w:t xml:space="preserve">Intended use is to monitor a local </w:t>
            </w:r>
            <w:r w:rsidR="009B0FC4" w:rsidRPr="00E47262">
              <w:rPr>
                <w:rFonts w:cs="Times New Roman (Body CS)"/>
                <w:sz w:val="14"/>
                <w:szCs w:val="14"/>
              </w:rPr>
              <w:t xml:space="preserve">or sentinel </w:t>
            </w:r>
            <w:r w:rsidRPr="00E47262">
              <w:rPr>
                <w:rFonts w:cs="Times New Roman (Body CS)"/>
                <w:sz w:val="14"/>
                <w:szCs w:val="14"/>
              </w:rPr>
              <w:t xml:space="preserve">population </w:t>
            </w:r>
            <w:r w:rsidR="0034199C" w:rsidRPr="002934BA">
              <w:rPr>
                <w:rFonts w:cs="Times New Roman (Body CS)"/>
                <w:sz w:val="14"/>
                <w:szCs w:val="14"/>
              </w:rPr>
              <w:t>for o</w:t>
            </w:r>
            <w:r w:rsidR="0034199C" w:rsidRPr="000446B4">
              <w:rPr>
                <w:rFonts w:cs="Times New Roman (Body CS)"/>
                <w:sz w:val="14"/>
                <w:szCs w:val="14"/>
              </w:rPr>
              <w:t xml:space="preserve">ne </w:t>
            </w:r>
            <w:r w:rsidR="00B050CE">
              <w:rPr>
                <w:rFonts w:cs="Times New Roman (Body CS)"/>
                <w:sz w:val="14"/>
                <w:szCs w:val="14"/>
              </w:rPr>
              <w:t xml:space="preserve">of </w:t>
            </w:r>
            <w:r w:rsidR="0034199C" w:rsidRPr="000446B4">
              <w:rPr>
                <w:rFonts w:cs="Times New Roman (Body CS)"/>
                <w:sz w:val="14"/>
                <w:szCs w:val="14"/>
              </w:rPr>
              <w:t>three purposes:</w:t>
            </w:r>
          </w:p>
          <w:p w14:paraId="33CBDCCE" w14:textId="2268EB2B" w:rsidR="00837560" w:rsidRPr="00356087" w:rsidRDefault="00837560" w:rsidP="00356087">
            <w:pPr>
              <w:ind w:left="410" w:hanging="180"/>
              <w:cnfStyle w:val="000000000000" w:firstRow="0" w:lastRow="0" w:firstColumn="0" w:lastColumn="0" w:oddVBand="0" w:evenVBand="0" w:oddHBand="0" w:evenHBand="0" w:firstRowFirstColumn="0" w:firstRowLastColumn="0" w:lastRowFirstColumn="0" w:lastRowLastColumn="0"/>
              <w:rPr>
                <w:rFonts w:cs="Times New Roman (Body CS)"/>
                <w:sz w:val="14"/>
                <w:szCs w:val="14"/>
              </w:rPr>
            </w:pPr>
            <w:r w:rsidRPr="00356087">
              <w:rPr>
                <w:rFonts w:cs="Times New Roman (Body CS)"/>
                <w:sz w:val="14"/>
                <w:szCs w:val="14"/>
              </w:rPr>
              <w:t>1)</w:t>
            </w:r>
            <w:r w:rsidRPr="00356087">
              <w:rPr>
                <w:rFonts w:cs="Times New Roman (Body CS)"/>
                <w:sz w:val="14"/>
                <w:szCs w:val="13"/>
              </w:rPr>
              <w:t xml:space="preserve"> the estimation of incidence of current SARS-CoV-2 infection in symptomatic persons</w:t>
            </w:r>
          </w:p>
          <w:p w14:paraId="1081850C" w14:textId="1E42B5BC" w:rsidR="00F57E58" w:rsidRPr="00356087" w:rsidRDefault="00837560" w:rsidP="00356087">
            <w:pPr>
              <w:ind w:left="410" w:hanging="180"/>
              <w:cnfStyle w:val="000000000000" w:firstRow="0" w:lastRow="0" w:firstColumn="0" w:lastColumn="0" w:oddVBand="0" w:evenVBand="0" w:oddHBand="0" w:evenHBand="0" w:firstRowFirstColumn="0" w:firstRowLastColumn="0" w:lastRowFirstColumn="0" w:lastRowLastColumn="0"/>
              <w:rPr>
                <w:rFonts w:cs="Times New Roman (Body CS)"/>
                <w:sz w:val="14"/>
                <w:szCs w:val="14"/>
              </w:rPr>
            </w:pPr>
            <w:r w:rsidRPr="00356087">
              <w:rPr>
                <w:rFonts w:cs="Times New Roman (Body CS)"/>
                <w:sz w:val="14"/>
                <w:szCs w:val="14"/>
              </w:rPr>
              <w:t>2</w:t>
            </w:r>
            <w:r w:rsidR="0034199C" w:rsidRPr="00356087">
              <w:rPr>
                <w:rFonts w:cs="Times New Roman (Body CS)"/>
                <w:sz w:val="14"/>
                <w:szCs w:val="14"/>
              </w:rPr>
              <w:t xml:space="preserve">) the estimation of incidence of current SARS-CoV-2 infection in </w:t>
            </w:r>
            <w:r w:rsidR="00B050CE" w:rsidRPr="00356087">
              <w:rPr>
                <w:rFonts w:cs="Times New Roman (Body CS)"/>
                <w:sz w:val="14"/>
                <w:szCs w:val="14"/>
              </w:rPr>
              <w:t>non-symptomatic (</w:t>
            </w:r>
            <w:r w:rsidR="0034199C" w:rsidRPr="00356087">
              <w:rPr>
                <w:rFonts w:cs="Times New Roman (Body CS)"/>
                <w:sz w:val="14"/>
                <w:szCs w:val="14"/>
              </w:rPr>
              <w:t>asymptomatic and pre-symptomatic</w:t>
            </w:r>
            <w:r w:rsidR="00B050CE" w:rsidRPr="00356087">
              <w:rPr>
                <w:rFonts w:cs="Times New Roman (Body CS)"/>
                <w:sz w:val="14"/>
                <w:szCs w:val="14"/>
              </w:rPr>
              <w:t>)</w:t>
            </w:r>
            <w:r w:rsidR="0034199C" w:rsidRPr="00356087">
              <w:rPr>
                <w:rFonts w:cs="Times New Roman (Body CS)"/>
                <w:sz w:val="14"/>
                <w:szCs w:val="14"/>
              </w:rPr>
              <w:t xml:space="preserve"> persons </w:t>
            </w:r>
          </w:p>
          <w:p w14:paraId="00BAAFDB" w14:textId="696DAC2A" w:rsidR="0034199C" w:rsidRPr="00356087" w:rsidRDefault="0034199C" w:rsidP="00356087">
            <w:pPr>
              <w:ind w:left="410" w:hanging="180"/>
              <w:cnfStyle w:val="000000000000" w:firstRow="0" w:lastRow="0" w:firstColumn="0" w:lastColumn="0" w:oddVBand="0" w:evenVBand="0" w:oddHBand="0" w:evenHBand="0" w:firstRowFirstColumn="0" w:firstRowLastColumn="0" w:lastRowFirstColumn="0" w:lastRowLastColumn="0"/>
              <w:rPr>
                <w:rFonts w:cs="Times New Roman (Body CS)"/>
                <w:sz w:val="14"/>
                <w:szCs w:val="14"/>
              </w:rPr>
            </w:pPr>
            <w:r w:rsidRPr="00356087">
              <w:rPr>
                <w:rFonts w:cs="Times New Roman (Body CS)"/>
                <w:sz w:val="14"/>
                <w:szCs w:val="14"/>
              </w:rPr>
              <w:t xml:space="preserve">3) The estimation of prevalence </w:t>
            </w:r>
            <w:r w:rsidR="00896E29" w:rsidRPr="00356087">
              <w:rPr>
                <w:rFonts w:cs="Times New Roman (Body CS)"/>
                <w:sz w:val="14"/>
                <w:szCs w:val="14"/>
              </w:rPr>
              <w:t>of SARS</w:t>
            </w:r>
            <w:r w:rsidRPr="00356087">
              <w:rPr>
                <w:rFonts w:cs="Times New Roman (Body CS)"/>
                <w:sz w:val="14"/>
                <w:szCs w:val="14"/>
              </w:rPr>
              <w:t xml:space="preserve">-CoV-2 infection based upon prior exposure to SARS-CoV-2 </w:t>
            </w:r>
          </w:p>
          <w:p w14:paraId="1DDDA5CC" w14:textId="405DFBD9" w:rsidR="00E36E7D" w:rsidRPr="00E36E7D" w:rsidRDefault="00E36E7D"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For intended use 1 and 2, it is possible that surveillance </w:t>
            </w:r>
            <w:r w:rsidR="00356087">
              <w:rPr>
                <w:sz w:val="14"/>
                <w:szCs w:val="14"/>
              </w:rPr>
              <w:t xml:space="preserve">could </w:t>
            </w:r>
            <w:r>
              <w:rPr>
                <w:sz w:val="14"/>
                <w:szCs w:val="14"/>
              </w:rPr>
              <w:t>constitute monitoring</w:t>
            </w:r>
            <w:r w:rsidR="00356087">
              <w:rPr>
                <w:sz w:val="14"/>
                <w:szCs w:val="14"/>
              </w:rPr>
              <w:t xml:space="preserve"> of</w:t>
            </w:r>
            <w:r>
              <w:rPr>
                <w:sz w:val="14"/>
                <w:szCs w:val="14"/>
              </w:rPr>
              <w:t xml:space="preserve"> testing conducted for diagnosis or screening without the need for new testing specifically for surveillance</w:t>
            </w:r>
          </w:p>
          <w:p w14:paraId="53D9D93A" w14:textId="6B5E5B33" w:rsidR="00F57E58" w:rsidRDefault="00F57E58"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837560">
              <w:rPr>
                <w:rFonts w:cs="Times New Roman (Body CS)"/>
                <w:sz w:val="14"/>
                <w:szCs w:val="14"/>
              </w:rPr>
              <w:t xml:space="preserve">If </w:t>
            </w:r>
            <w:r w:rsidR="00DB1D13" w:rsidRPr="00837560">
              <w:rPr>
                <w:rFonts w:cs="Times New Roman (Body CS)"/>
                <w:sz w:val="14"/>
                <w:szCs w:val="14"/>
              </w:rPr>
              <w:t>SARS-CoV-2</w:t>
            </w:r>
            <w:r w:rsidRPr="00837560">
              <w:rPr>
                <w:rFonts w:cs="Times New Roman (Body CS)"/>
                <w:sz w:val="14"/>
                <w:szCs w:val="14"/>
              </w:rPr>
              <w:t xml:space="preserve"> diagnostics are not </w:t>
            </w:r>
            <w:r w:rsidR="009B0FC4" w:rsidRPr="00837560">
              <w:rPr>
                <w:rFonts w:cs="Times New Roman (Body CS)"/>
                <w:sz w:val="14"/>
                <w:szCs w:val="14"/>
              </w:rPr>
              <w:t xml:space="preserve">in </w:t>
            </w:r>
            <w:r w:rsidRPr="00E47262">
              <w:rPr>
                <w:rFonts w:cs="Times New Roman (Body CS)"/>
                <w:sz w:val="14"/>
                <w:szCs w:val="14"/>
              </w:rPr>
              <w:t>routine</w:t>
            </w:r>
            <w:r w:rsidR="009B0FC4" w:rsidRPr="00E47262">
              <w:rPr>
                <w:rFonts w:cs="Times New Roman (Body CS)"/>
                <w:sz w:val="14"/>
                <w:szCs w:val="14"/>
              </w:rPr>
              <w:t xml:space="preserve"> use in the location of</w:t>
            </w:r>
            <w:r w:rsidR="009B0FC4" w:rsidRPr="00FC44EB">
              <w:rPr>
                <w:sz w:val="14"/>
                <w:szCs w:val="14"/>
              </w:rPr>
              <w:t xml:space="preserve"> interest</w:t>
            </w:r>
            <w:r w:rsidRPr="00FC44EB">
              <w:rPr>
                <w:sz w:val="14"/>
                <w:szCs w:val="14"/>
              </w:rPr>
              <w:t xml:space="preserve">, procedures to test a statistically meaningful subset of </w:t>
            </w:r>
            <w:r w:rsidR="009B0FC4" w:rsidRPr="00FC44EB">
              <w:rPr>
                <w:sz w:val="14"/>
                <w:szCs w:val="14"/>
              </w:rPr>
              <w:t>the respiratory</w:t>
            </w:r>
            <w:r w:rsidR="00DB1D13" w:rsidRPr="00FC44EB">
              <w:rPr>
                <w:sz w:val="14"/>
                <w:szCs w:val="14"/>
              </w:rPr>
              <w:t xml:space="preserve"> and febrile</w:t>
            </w:r>
            <w:r w:rsidR="009B0FC4" w:rsidRPr="00FC44EB">
              <w:rPr>
                <w:sz w:val="14"/>
                <w:szCs w:val="14"/>
              </w:rPr>
              <w:t xml:space="preserve"> disease</w:t>
            </w:r>
            <w:r w:rsidRPr="00FC44EB">
              <w:rPr>
                <w:sz w:val="14"/>
                <w:szCs w:val="14"/>
              </w:rPr>
              <w:t xml:space="preserve"> patient populations would be used</w:t>
            </w:r>
            <w:r w:rsidR="00DB3A0D" w:rsidRPr="00FC44EB">
              <w:rPr>
                <w:sz w:val="14"/>
                <w:szCs w:val="14"/>
              </w:rPr>
              <w:t>.</w:t>
            </w:r>
          </w:p>
          <w:p w14:paraId="660FA61A" w14:textId="07510D73" w:rsidR="00172BE8" w:rsidRPr="00FC44EB" w:rsidRDefault="00172BE8"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In addition, surveillance could be carried out in sentinel populations in higher risk situations than the general population in persons without symptoms (e.g., healthcare workers, first responders). </w:t>
            </w:r>
          </w:p>
          <w:p w14:paraId="676F64ED" w14:textId="516C3634" w:rsidR="00F57E58" w:rsidRPr="00FC44EB" w:rsidRDefault="00BD012A"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Positive confirmation </w:t>
            </w:r>
            <w:r w:rsidR="00B050CE">
              <w:rPr>
                <w:sz w:val="14"/>
                <w:szCs w:val="14"/>
              </w:rPr>
              <w:t xml:space="preserve">in a site of no or few previous infections </w:t>
            </w:r>
            <w:r w:rsidRPr="00FC44EB">
              <w:rPr>
                <w:sz w:val="14"/>
                <w:szCs w:val="14"/>
              </w:rPr>
              <w:t>would trigger a planned response</w:t>
            </w:r>
            <w:r w:rsidR="00DB3A0D" w:rsidRPr="00FC44EB">
              <w:rPr>
                <w:sz w:val="14"/>
                <w:szCs w:val="14"/>
              </w:rPr>
              <w:t>.</w:t>
            </w:r>
          </w:p>
          <w:p w14:paraId="7471B288" w14:textId="18B155FE" w:rsidR="00F57E58" w:rsidRPr="00FC44EB" w:rsidRDefault="00F57E58" w:rsidP="00E36E7D">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974" w:type="pct"/>
          </w:tcPr>
          <w:p w14:paraId="523B898E" w14:textId="202D3B42" w:rsidR="00DB1D13" w:rsidRPr="00FC44EB" w:rsidRDefault="00F57E58"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Use of multiplex assay technologies designed to detect more than one pathogen can be a convenient means of</w:t>
            </w:r>
            <w:r w:rsidR="00BD012A" w:rsidRPr="00FC44EB">
              <w:rPr>
                <w:sz w:val="14"/>
                <w:szCs w:val="14"/>
              </w:rPr>
              <w:t xml:space="preserve"> </w:t>
            </w:r>
            <w:r w:rsidRPr="00FC44EB">
              <w:rPr>
                <w:sz w:val="14"/>
                <w:szCs w:val="14"/>
              </w:rPr>
              <w:t>surveillance, provided test utility</w:t>
            </w:r>
            <w:r w:rsidR="00E36E7D">
              <w:rPr>
                <w:sz w:val="14"/>
                <w:szCs w:val="14"/>
              </w:rPr>
              <w:t xml:space="preserve"> </w:t>
            </w:r>
            <w:r w:rsidRPr="00FC44EB">
              <w:rPr>
                <w:sz w:val="14"/>
                <w:szCs w:val="14"/>
              </w:rPr>
              <w:t xml:space="preserve">and cost match the target requirements. </w:t>
            </w:r>
          </w:p>
          <w:p w14:paraId="1C1248DE" w14:textId="5F2971B0" w:rsidR="00F57E58" w:rsidRPr="00FC44EB" w:rsidRDefault="003D1B52"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For RNA testing, i</w:t>
            </w:r>
            <w:r w:rsidR="00BD012A" w:rsidRPr="00FC44EB">
              <w:rPr>
                <w:sz w:val="14"/>
                <w:szCs w:val="14"/>
              </w:rPr>
              <w:t xml:space="preserve">t is </w:t>
            </w:r>
            <w:r w:rsidR="00896E29">
              <w:rPr>
                <w:sz w:val="14"/>
                <w:szCs w:val="14"/>
              </w:rPr>
              <w:t>probable</w:t>
            </w:r>
            <w:r w:rsidR="00BD012A" w:rsidRPr="00FC44EB">
              <w:rPr>
                <w:sz w:val="14"/>
                <w:szCs w:val="14"/>
              </w:rPr>
              <w:t xml:space="preserve"> that </w:t>
            </w:r>
            <w:r>
              <w:rPr>
                <w:sz w:val="14"/>
                <w:szCs w:val="14"/>
              </w:rPr>
              <w:t xml:space="preserve">pooling </w:t>
            </w:r>
            <w:r w:rsidR="00BD012A" w:rsidRPr="00FC44EB">
              <w:rPr>
                <w:sz w:val="14"/>
                <w:szCs w:val="14"/>
              </w:rPr>
              <w:t>of samples will be necessary t</w:t>
            </w:r>
            <w:r w:rsidR="00183388" w:rsidRPr="00FC44EB">
              <w:rPr>
                <w:sz w:val="14"/>
                <w:szCs w:val="14"/>
              </w:rPr>
              <w:t>o</w:t>
            </w:r>
            <w:r w:rsidR="00BD012A" w:rsidRPr="00FC44EB">
              <w:rPr>
                <w:sz w:val="14"/>
                <w:szCs w:val="14"/>
              </w:rPr>
              <w:t xml:space="preserve"> achieve cost goals.</w:t>
            </w:r>
          </w:p>
          <w:p w14:paraId="0F539A96" w14:textId="6E4C3E9F" w:rsidR="00F57E58" w:rsidRPr="00FC44EB" w:rsidRDefault="00DB1D13"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M</w:t>
            </w:r>
            <w:r w:rsidR="00F57E58" w:rsidRPr="00FC44EB">
              <w:rPr>
                <w:sz w:val="14"/>
                <w:szCs w:val="14"/>
              </w:rPr>
              <w:t xml:space="preserve">olecular labeling </w:t>
            </w:r>
            <w:r w:rsidRPr="00FC44EB">
              <w:rPr>
                <w:sz w:val="14"/>
                <w:szCs w:val="14"/>
              </w:rPr>
              <w:t xml:space="preserve">(e.g., “bar coding”) </w:t>
            </w:r>
            <w:r w:rsidR="00F57E58" w:rsidRPr="00FC44EB">
              <w:rPr>
                <w:sz w:val="14"/>
                <w:szCs w:val="14"/>
              </w:rPr>
              <w:t>of individual samples</w:t>
            </w:r>
            <w:r w:rsidR="007B0005" w:rsidRPr="00FC44EB">
              <w:rPr>
                <w:sz w:val="14"/>
                <w:szCs w:val="14"/>
              </w:rPr>
              <w:t>,</w:t>
            </w:r>
            <w:r w:rsidR="00F57E58" w:rsidRPr="00FC44EB">
              <w:rPr>
                <w:sz w:val="14"/>
                <w:szCs w:val="14"/>
              </w:rPr>
              <w:t xml:space="preserve"> </w:t>
            </w:r>
            <w:r w:rsidRPr="00FC44EB">
              <w:rPr>
                <w:sz w:val="14"/>
                <w:szCs w:val="14"/>
              </w:rPr>
              <w:t xml:space="preserve">in order </w:t>
            </w:r>
            <w:r w:rsidR="00F57E58" w:rsidRPr="00FC44EB">
              <w:rPr>
                <w:sz w:val="14"/>
                <w:szCs w:val="14"/>
              </w:rPr>
              <w:t>to combine them for subsequent NGS analysis</w:t>
            </w:r>
            <w:r w:rsidR="000F7F16">
              <w:rPr>
                <w:sz w:val="14"/>
                <w:szCs w:val="14"/>
              </w:rPr>
              <w:t>,</w:t>
            </w:r>
            <w:r w:rsidR="00F57E58" w:rsidRPr="00FC44EB">
              <w:rPr>
                <w:sz w:val="14"/>
                <w:szCs w:val="14"/>
              </w:rPr>
              <w:t xml:space="preserve"> followed by de-convolution</w:t>
            </w:r>
            <w:r w:rsidR="007B0005" w:rsidRPr="00FC44EB">
              <w:rPr>
                <w:sz w:val="14"/>
                <w:szCs w:val="14"/>
              </w:rPr>
              <w:t>,</w:t>
            </w:r>
            <w:r w:rsidR="00F57E58" w:rsidRPr="00FC44EB">
              <w:rPr>
                <w:sz w:val="14"/>
                <w:szCs w:val="14"/>
              </w:rPr>
              <w:t xml:space="preserve"> </w:t>
            </w:r>
            <w:r w:rsidR="003D1B52">
              <w:rPr>
                <w:sz w:val="14"/>
                <w:szCs w:val="14"/>
              </w:rPr>
              <w:t>can</w:t>
            </w:r>
            <w:r w:rsidR="00F57E58" w:rsidRPr="00FC44EB">
              <w:rPr>
                <w:sz w:val="14"/>
                <w:szCs w:val="14"/>
              </w:rPr>
              <w:t xml:space="preserve"> be used</w:t>
            </w:r>
            <w:r w:rsidR="003D1B52">
              <w:rPr>
                <w:sz w:val="14"/>
                <w:szCs w:val="14"/>
              </w:rPr>
              <w:t xml:space="preserve"> to achieve pools of more than 100 samples</w:t>
            </w:r>
            <w:r w:rsidR="00DB3A0D" w:rsidRPr="00FC44EB">
              <w:rPr>
                <w:sz w:val="14"/>
                <w:szCs w:val="14"/>
              </w:rPr>
              <w:t>.</w:t>
            </w:r>
            <w:r w:rsidR="003D1B52">
              <w:rPr>
                <w:sz w:val="14"/>
                <w:szCs w:val="14"/>
              </w:rPr>
              <w:t xml:space="preserve"> PCR amplification of the </w:t>
            </w:r>
            <w:r w:rsidR="00F51DB9">
              <w:rPr>
                <w:sz w:val="14"/>
                <w:szCs w:val="14"/>
              </w:rPr>
              <w:t xml:space="preserve">extracted samples to near equivalent concentration of the amplicons (library prep) is necessary. </w:t>
            </w:r>
          </w:p>
          <w:p w14:paraId="78C18CE5" w14:textId="10BE7623" w:rsidR="00183388" w:rsidRPr="00FC44EB" w:rsidRDefault="00183388" w:rsidP="0018338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Remote, safe collection and transport of samples under </w:t>
            </w:r>
            <w:r w:rsidR="000F7F16">
              <w:rPr>
                <w:sz w:val="14"/>
                <w:szCs w:val="14"/>
              </w:rPr>
              <w:t>secure</w:t>
            </w:r>
            <w:r w:rsidRPr="00FC44EB">
              <w:rPr>
                <w:sz w:val="14"/>
                <w:szCs w:val="14"/>
              </w:rPr>
              <w:t xml:space="preserve"> conditions is required</w:t>
            </w:r>
            <w:r w:rsidR="00DB3A0D" w:rsidRPr="00FC44EB">
              <w:rPr>
                <w:sz w:val="14"/>
                <w:szCs w:val="14"/>
              </w:rPr>
              <w:t>.</w:t>
            </w:r>
            <w:r w:rsidRPr="00FC44EB">
              <w:rPr>
                <w:sz w:val="14"/>
                <w:szCs w:val="14"/>
              </w:rPr>
              <w:t xml:space="preserve"> </w:t>
            </w:r>
          </w:p>
          <w:p w14:paraId="155E15B5" w14:textId="5C207EFE" w:rsidR="00F57E58" w:rsidRPr="00FC44EB" w:rsidRDefault="003D1B52"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For </w:t>
            </w:r>
            <w:r w:rsidR="00E36E7D">
              <w:rPr>
                <w:sz w:val="14"/>
                <w:szCs w:val="14"/>
              </w:rPr>
              <w:t>intended use 3</w:t>
            </w:r>
            <w:r w:rsidR="00DC1A25">
              <w:rPr>
                <w:sz w:val="14"/>
                <w:szCs w:val="14"/>
              </w:rPr>
              <w:t xml:space="preserve"> that requires </w:t>
            </w:r>
            <w:r>
              <w:rPr>
                <w:sz w:val="14"/>
                <w:szCs w:val="14"/>
              </w:rPr>
              <w:t>serology tests, a</w:t>
            </w:r>
            <w:r w:rsidR="00E36E7D">
              <w:rPr>
                <w:sz w:val="14"/>
                <w:szCs w:val="14"/>
              </w:rPr>
              <w:t xml:space="preserve"> </w:t>
            </w:r>
            <w:r w:rsidR="00F57E58" w:rsidRPr="00FC44EB">
              <w:rPr>
                <w:sz w:val="14"/>
                <w:szCs w:val="14"/>
              </w:rPr>
              <w:t xml:space="preserve">confirmatory test using </w:t>
            </w:r>
            <w:r>
              <w:rPr>
                <w:sz w:val="14"/>
                <w:szCs w:val="14"/>
              </w:rPr>
              <w:t>multiple antigens</w:t>
            </w:r>
            <w:r w:rsidR="00E36E7D">
              <w:rPr>
                <w:sz w:val="14"/>
                <w:szCs w:val="14"/>
              </w:rPr>
              <w:t xml:space="preserve"> </w:t>
            </w:r>
            <w:r w:rsidR="00F57E58" w:rsidRPr="00FC44EB">
              <w:rPr>
                <w:sz w:val="14"/>
                <w:szCs w:val="14"/>
              </w:rPr>
              <w:t xml:space="preserve">could </w:t>
            </w:r>
            <w:r w:rsidR="00BD012A" w:rsidRPr="00FC44EB">
              <w:rPr>
                <w:sz w:val="14"/>
                <w:szCs w:val="14"/>
              </w:rPr>
              <w:t xml:space="preserve">be </w:t>
            </w:r>
            <w:r w:rsidR="00F57E58" w:rsidRPr="00FC44EB">
              <w:rPr>
                <w:sz w:val="14"/>
                <w:szCs w:val="14"/>
              </w:rPr>
              <w:t>needed</w:t>
            </w:r>
            <w:r>
              <w:rPr>
                <w:sz w:val="14"/>
                <w:szCs w:val="14"/>
              </w:rPr>
              <w:t xml:space="preserve"> (e.g., western blot-like techniques)</w:t>
            </w:r>
            <w:r w:rsidR="00F57E58" w:rsidRPr="00FC44EB">
              <w:rPr>
                <w:sz w:val="14"/>
                <w:szCs w:val="14"/>
              </w:rPr>
              <w:t xml:space="preserve">, depending </w:t>
            </w:r>
            <w:r>
              <w:rPr>
                <w:sz w:val="14"/>
                <w:szCs w:val="14"/>
              </w:rPr>
              <w:t>up</w:t>
            </w:r>
            <w:r w:rsidR="00F57E58" w:rsidRPr="00FC44EB">
              <w:rPr>
                <w:sz w:val="14"/>
                <w:szCs w:val="14"/>
              </w:rPr>
              <w:t>on the configuration of the primary test</w:t>
            </w:r>
            <w:r w:rsidR="00DB1D13" w:rsidRPr="00FC44EB">
              <w:rPr>
                <w:sz w:val="14"/>
                <w:szCs w:val="14"/>
              </w:rPr>
              <w:t xml:space="preserve"> </w:t>
            </w:r>
            <w:r w:rsidR="00F51DB9">
              <w:rPr>
                <w:sz w:val="14"/>
                <w:szCs w:val="14"/>
              </w:rPr>
              <w:t xml:space="preserve">and upon the prevalence of the population. </w:t>
            </w:r>
          </w:p>
          <w:p w14:paraId="48DAF308" w14:textId="6B3C37DD" w:rsidR="00DB1D13" w:rsidRPr="00FC44EB" w:rsidRDefault="00F57E58" w:rsidP="00DB1D13">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ICT is needed</w:t>
            </w:r>
            <w:r w:rsidR="00183388" w:rsidRPr="00FC44EB">
              <w:rPr>
                <w:sz w:val="14"/>
                <w:szCs w:val="14"/>
              </w:rPr>
              <w:t xml:space="preserve"> for communication of results to stakeholders</w:t>
            </w:r>
            <w:r w:rsidRPr="00FC44EB">
              <w:rPr>
                <w:sz w:val="14"/>
                <w:szCs w:val="14"/>
              </w:rPr>
              <w:t xml:space="preserve"> (e.g.</w:t>
            </w:r>
            <w:r w:rsidR="003D1B52">
              <w:rPr>
                <w:sz w:val="14"/>
                <w:szCs w:val="14"/>
              </w:rPr>
              <w:t>,</w:t>
            </w:r>
            <w:r w:rsidRPr="00FC44EB">
              <w:rPr>
                <w:sz w:val="14"/>
                <w:szCs w:val="14"/>
              </w:rPr>
              <w:t xml:space="preserve"> healthcare workers, local governments, MOH, Public Health, CDC, WHO)</w:t>
            </w:r>
            <w:r w:rsidR="00DB3A0D" w:rsidRPr="00FC44EB">
              <w:rPr>
                <w:sz w:val="14"/>
                <w:szCs w:val="14"/>
              </w:rPr>
              <w:t>.</w:t>
            </w:r>
          </w:p>
        </w:tc>
        <w:tc>
          <w:tcPr>
            <w:tcW w:w="812" w:type="pct"/>
          </w:tcPr>
          <w:p w14:paraId="6E9764FE" w14:textId="057F6B48" w:rsidR="00F51DB9" w:rsidRPr="00E36E7D" w:rsidRDefault="004503B2" w:rsidP="00E36E7D">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E36E7D">
              <w:rPr>
                <w:sz w:val="14"/>
                <w:szCs w:val="14"/>
              </w:rPr>
              <w:t>The test must be developed to work with samples that are conveniently collected, such as</w:t>
            </w:r>
            <w:r w:rsidR="00BD012A" w:rsidRPr="00E36E7D">
              <w:rPr>
                <w:sz w:val="14"/>
                <w:szCs w:val="14"/>
              </w:rPr>
              <w:t xml:space="preserve"> </w:t>
            </w:r>
            <w:r w:rsidR="00B5432F" w:rsidRPr="00E36E7D">
              <w:rPr>
                <w:sz w:val="14"/>
                <w:szCs w:val="14"/>
              </w:rPr>
              <w:t xml:space="preserve">nasal swabs, </w:t>
            </w:r>
            <w:r w:rsidR="00896E29" w:rsidRPr="00E36E7D">
              <w:rPr>
                <w:sz w:val="14"/>
                <w:szCs w:val="14"/>
              </w:rPr>
              <w:t>mid-turbinate</w:t>
            </w:r>
            <w:r w:rsidR="00BD012A" w:rsidRPr="00E36E7D">
              <w:rPr>
                <w:sz w:val="14"/>
                <w:szCs w:val="14"/>
              </w:rPr>
              <w:t xml:space="preserve"> </w:t>
            </w:r>
            <w:r w:rsidRPr="00E36E7D">
              <w:rPr>
                <w:sz w:val="14"/>
                <w:szCs w:val="14"/>
              </w:rPr>
              <w:t>swabs</w:t>
            </w:r>
            <w:r w:rsidR="00270413" w:rsidRPr="00E36E7D">
              <w:rPr>
                <w:sz w:val="14"/>
                <w:szCs w:val="14"/>
              </w:rPr>
              <w:t xml:space="preserve">, </w:t>
            </w:r>
            <w:r w:rsidR="003D1B52" w:rsidRPr="00E36E7D">
              <w:rPr>
                <w:sz w:val="14"/>
                <w:szCs w:val="14"/>
              </w:rPr>
              <w:t xml:space="preserve">saliva </w:t>
            </w:r>
            <w:r w:rsidR="00F51DB9" w:rsidRPr="00E36E7D">
              <w:rPr>
                <w:sz w:val="14"/>
                <w:szCs w:val="14"/>
              </w:rPr>
              <w:t xml:space="preserve">(RNA) </w:t>
            </w:r>
            <w:r w:rsidR="002F50D5" w:rsidRPr="00E36E7D">
              <w:rPr>
                <w:sz w:val="14"/>
                <w:szCs w:val="14"/>
              </w:rPr>
              <w:t xml:space="preserve">and </w:t>
            </w:r>
            <w:r w:rsidR="00270413" w:rsidRPr="00E36E7D">
              <w:rPr>
                <w:sz w:val="14"/>
                <w:szCs w:val="14"/>
              </w:rPr>
              <w:t>blood</w:t>
            </w:r>
            <w:r w:rsidR="00F51DB9" w:rsidRPr="00E36E7D">
              <w:rPr>
                <w:sz w:val="14"/>
                <w:szCs w:val="14"/>
              </w:rPr>
              <w:t xml:space="preserve"> (serology)</w:t>
            </w:r>
          </w:p>
          <w:p w14:paraId="643A0CDE" w14:textId="7D3BCC5F" w:rsidR="00F51DB9" w:rsidRPr="00EF4222" w:rsidRDefault="00DC1A25" w:rsidP="00F51DB9">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Use of n</w:t>
            </w:r>
            <w:r w:rsidR="00F51DB9">
              <w:rPr>
                <w:sz w:val="14"/>
                <w:szCs w:val="14"/>
              </w:rPr>
              <w:t xml:space="preserve">asopharyngeal swabs for surveillance would likely decrease the number of willing participants. </w:t>
            </w:r>
          </w:p>
          <w:p w14:paraId="5A340319" w14:textId="648A13FA" w:rsidR="004503B2" w:rsidRDefault="00F51DB9" w:rsidP="00BD012A">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S</w:t>
            </w:r>
            <w:r>
              <w:rPr>
                <w:sz w:val="14"/>
                <w:szCs w:val="14"/>
              </w:rPr>
              <w:t>ample s</w:t>
            </w:r>
            <w:r w:rsidRPr="00FC44EB">
              <w:rPr>
                <w:sz w:val="14"/>
                <w:szCs w:val="14"/>
              </w:rPr>
              <w:t>tabilization</w:t>
            </w:r>
            <w:r>
              <w:rPr>
                <w:sz w:val="14"/>
                <w:szCs w:val="14"/>
              </w:rPr>
              <w:t>,</w:t>
            </w:r>
            <w:r w:rsidRPr="00FC44EB">
              <w:rPr>
                <w:sz w:val="14"/>
                <w:szCs w:val="14"/>
              </w:rPr>
              <w:t xml:space="preserve"> deactivation</w:t>
            </w:r>
            <w:r w:rsidR="004503B2" w:rsidRPr="00FC44EB">
              <w:rPr>
                <w:sz w:val="14"/>
                <w:szCs w:val="14"/>
              </w:rPr>
              <w:t xml:space="preserve"> </w:t>
            </w:r>
            <w:r>
              <w:rPr>
                <w:sz w:val="14"/>
                <w:szCs w:val="14"/>
              </w:rPr>
              <w:t xml:space="preserve">and storage </w:t>
            </w:r>
            <w:r w:rsidR="004503B2" w:rsidRPr="00FC44EB">
              <w:rPr>
                <w:sz w:val="14"/>
                <w:szCs w:val="14"/>
              </w:rPr>
              <w:t>prior to safe shipment</w:t>
            </w:r>
            <w:r w:rsidR="00BD012A" w:rsidRPr="00FC44EB">
              <w:rPr>
                <w:sz w:val="14"/>
                <w:szCs w:val="14"/>
              </w:rPr>
              <w:t xml:space="preserve"> </w:t>
            </w:r>
            <w:r>
              <w:rPr>
                <w:sz w:val="14"/>
                <w:szCs w:val="14"/>
              </w:rPr>
              <w:t>are</w:t>
            </w:r>
            <w:r w:rsidR="00BD012A" w:rsidRPr="00FC44EB">
              <w:rPr>
                <w:sz w:val="14"/>
                <w:szCs w:val="14"/>
              </w:rPr>
              <w:t xml:space="preserve"> important</w:t>
            </w:r>
            <w:r w:rsidR="00DB3A0D" w:rsidRPr="00FC44EB">
              <w:rPr>
                <w:sz w:val="14"/>
                <w:szCs w:val="14"/>
              </w:rPr>
              <w:t>.</w:t>
            </w:r>
          </w:p>
          <w:p w14:paraId="0FDF2715" w14:textId="42B1A189" w:rsidR="00F51DB9" w:rsidRDefault="00F51DB9" w:rsidP="00BD012A">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Proper sealing of collection/shipment tubes is essential</w:t>
            </w:r>
          </w:p>
          <w:p w14:paraId="338EDCA9" w14:textId="7EC2BD61" w:rsidR="00356087" w:rsidRDefault="00356087" w:rsidP="00BD012A">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In some instances, surveillance may be accomplished via implementation of environmental monitoring (Use Case 9)</w:t>
            </w:r>
          </w:p>
          <w:p w14:paraId="12AA5BD7" w14:textId="57CDDE8A" w:rsidR="00E36E7D" w:rsidRPr="00E36E7D" w:rsidRDefault="00E36E7D" w:rsidP="00E36E7D">
            <w:pPr>
              <w:cnfStyle w:val="000000000000" w:firstRow="0" w:lastRow="0" w:firstColumn="0" w:lastColumn="0" w:oddVBand="0" w:evenVBand="0" w:oddHBand="0" w:evenHBand="0" w:firstRowFirstColumn="0" w:firstRowLastColumn="0" w:lastRowFirstColumn="0" w:lastRowLastColumn="0"/>
              <w:rPr>
                <w:sz w:val="14"/>
                <w:szCs w:val="14"/>
              </w:rPr>
            </w:pPr>
          </w:p>
        </w:tc>
        <w:tc>
          <w:tcPr>
            <w:tcW w:w="1754" w:type="pct"/>
          </w:tcPr>
          <w:p w14:paraId="368B1F90" w14:textId="0B365EBD" w:rsidR="00F51DB9" w:rsidRDefault="00172BE8" w:rsidP="00F51DB9">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There are two </w:t>
            </w:r>
            <w:r w:rsidR="00896E29">
              <w:rPr>
                <w:sz w:val="14"/>
                <w:szCs w:val="14"/>
              </w:rPr>
              <w:t xml:space="preserve">main </w:t>
            </w:r>
            <w:r>
              <w:rPr>
                <w:sz w:val="14"/>
                <w:szCs w:val="14"/>
              </w:rPr>
              <w:t>types of testing questions that can be asked during a population surveillance study: 1) how many persons are currently infected</w:t>
            </w:r>
            <w:r w:rsidR="00F51DB9">
              <w:rPr>
                <w:sz w:val="14"/>
                <w:szCs w:val="14"/>
              </w:rPr>
              <w:t xml:space="preserve"> (incidence)?</w:t>
            </w:r>
            <w:r w:rsidR="00095DD2">
              <w:rPr>
                <w:sz w:val="14"/>
                <w:szCs w:val="14"/>
              </w:rPr>
              <w:t xml:space="preserve"> and</w:t>
            </w:r>
            <w:r>
              <w:rPr>
                <w:sz w:val="14"/>
                <w:szCs w:val="14"/>
              </w:rPr>
              <w:t xml:space="preserve">, 2) what portion of the population </w:t>
            </w:r>
            <w:r w:rsidR="00DC1A25">
              <w:rPr>
                <w:sz w:val="14"/>
                <w:szCs w:val="14"/>
              </w:rPr>
              <w:t xml:space="preserve">tested </w:t>
            </w:r>
            <w:r>
              <w:rPr>
                <w:sz w:val="14"/>
                <w:szCs w:val="14"/>
              </w:rPr>
              <w:t>was previously infected</w:t>
            </w:r>
            <w:r w:rsidR="00F51DB9">
              <w:rPr>
                <w:sz w:val="14"/>
                <w:szCs w:val="14"/>
              </w:rPr>
              <w:t xml:space="preserve"> (prevalence)</w:t>
            </w:r>
            <w:r>
              <w:rPr>
                <w:sz w:val="14"/>
                <w:szCs w:val="14"/>
              </w:rPr>
              <w:t xml:space="preserve">? The former can be </w:t>
            </w:r>
            <w:r w:rsidR="00F51DB9">
              <w:rPr>
                <w:sz w:val="14"/>
                <w:szCs w:val="14"/>
              </w:rPr>
              <w:t>addressed</w:t>
            </w:r>
            <w:r>
              <w:rPr>
                <w:sz w:val="14"/>
                <w:szCs w:val="14"/>
              </w:rPr>
              <w:t xml:space="preserve"> with RNA testing, and possibly viral antigen testing. The latter can be addressed with immunoglobulin tests. </w:t>
            </w:r>
          </w:p>
          <w:p w14:paraId="3A0E970A" w14:textId="0DACBAE8" w:rsidR="0067353B" w:rsidRPr="00DC1A25" w:rsidRDefault="0067353B" w:rsidP="00F51DB9">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5"/>
                <w:szCs w:val="15"/>
              </w:rPr>
            </w:pPr>
            <w:r w:rsidRPr="00F51DB9">
              <w:rPr>
                <w:sz w:val="14"/>
                <w:szCs w:val="14"/>
              </w:rPr>
              <w:t xml:space="preserve">Additional questions can be asked over time, such as: </w:t>
            </w:r>
            <w:r w:rsidR="00F51DB9" w:rsidRPr="00DC1A25">
              <w:rPr>
                <w:sz w:val="15"/>
                <w:szCs w:val="15"/>
              </w:rPr>
              <w:t>a</w:t>
            </w:r>
            <w:r w:rsidRPr="00DC1A25">
              <w:rPr>
                <w:color w:val="000000" w:themeColor="text1"/>
                <w:sz w:val="15"/>
                <w:szCs w:val="15"/>
              </w:rPr>
              <w:t>re the number of current infections changing (change in incidence)? Is the prevalence changing? Is the IgG titer decreasing? Over what period of time?</w:t>
            </w:r>
          </w:p>
          <w:p w14:paraId="36C1B3BE" w14:textId="70937817" w:rsidR="00851B9E" w:rsidRDefault="000F7F16" w:rsidP="000F7F16">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Unfortunately, so </w:t>
            </w:r>
            <w:r w:rsidR="00356087" w:rsidRPr="00FC44EB">
              <w:rPr>
                <w:sz w:val="14"/>
                <w:szCs w:val="14"/>
              </w:rPr>
              <w:t>far,</w:t>
            </w:r>
            <w:r w:rsidRPr="00FC44EB">
              <w:rPr>
                <w:sz w:val="14"/>
                <w:szCs w:val="14"/>
              </w:rPr>
              <w:t xml:space="preserve"> the virus has not been routinely detected in blood</w:t>
            </w:r>
            <w:r w:rsidR="00434400">
              <w:rPr>
                <w:sz w:val="14"/>
                <w:szCs w:val="14"/>
              </w:rPr>
              <w:t xml:space="preserve"> (except in severe infections</w:t>
            </w:r>
            <w:r w:rsidR="00851B9E">
              <w:rPr>
                <w:sz w:val="14"/>
                <w:szCs w:val="14"/>
              </w:rPr>
              <w:t>)</w:t>
            </w:r>
            <w:r w:rsidR="00172BE8">
              <w:rPr>
                <w:sz w:val="14"/>
                <w:szCs w:val="14"/>
              </w:rPr>
              <w:t>, so if RNA and immunoassay technologies are used, it could be necessary to use upper respiratory samples and blood samples, respectively</w:t>
            </w:r>
            <w:r w:rsidRPr="00FC44EB">
              <w:rPr>
                <w:sz w:val="14"/>
                <w:szCs w:val="14"/>
              </w:rPr>
              <w:t xml:space="preserve">. </w:t>
            </w:r>
          </w:p>
          <w:p w14:paraId="61EC9C7C" w14:textId="0F14F4E3" w:rsidR="00172BE8" w:rsidRDefault="00172BE8" w:rsidP="000F7F16">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Immunoassays using upper respiratory samples for antigen and antibodies </w:t>
            </w:r>
            <w:r w:rsidR="00851B9E">
              <w:rPr>
                <w:sz w:val="14"/>
                <w:szCs w:val="14"/>
              </w:rPr>
              <w:t>(e.g., s</w:t>
            </w:r>
            <w:r w:rsidR="00DC1A25">
              <w:rPr>
                <w:sz w:val="14"/>
                <w:szCs w:val="14"/>
              </w:rPr>
              <w:t xml:space="preserve">ecretory </w:t>
            </w:r>
            <w:r w:rsidR="00851B9E">
              <w:rPr>
                <w:sz w:val="14"/>
                <w:szCs w:val="14"/>
              </w:rPr>
              <w:t xml:space="preserve">IgA) </w:t>
            </w:r>
            <w:r>
              <w:rPr>
                <w:sz w:val="14"/>
                <w:szCs w:val="14"/>
              </w:rPr>
              <w:t xml:space="preserve">have also been developed. </w:t>
            </w:r>
          </w:p>
          <w:p w14:paraId="4795160C" w14:textId="12304C52" w:rsidR="000F7F16" w:rsidRPr="000F7F16" w:rsidRDefault="000F7F16" w:rsidP="000F7F16">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NGS would provide additional information concerning the genetic variation in SARS-CoV-2 over time and location.</w:t>
            </w:r>
          </w:p>
          <w:p w14:paraId="54C9ED4A" w14:textId="320356FF" w:rsidR="004503B2" w:rsidRPr="00FC44EB" w:rsidRDefault="00851B9E"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Where</w:t>
            </w:r>
            <w:r w:rsidR="004503B2" w:rsidRPr="00FC44EB">
              <w:rPr>
                <w:sz w:val="14"/>
                <w:szCs w:val="14"/>
              </w:rPr>
              <w:t xml:space="preserve"> </w:t>
            </w:r>
            <w:r w:rsidR="00270413" w:rsidRPr="00FC44EB">
              <w:rPr>
                <w:sz w:val="14"/>
                <w:szCs w:val="14"/>
              </w:rPr>
              <w:t>SARS-CoV-2</w:t>
            </w:r>
            <w:r w:rsidR="000F7F16">
              <w:rPr>
                <w:sz w:val="14"/>
                <w:szCs w:val="14"/>
              </w:rPr>
              <w:t xml:space="preserve"> virus</w:t>
            </w:r>
            <w:r w:rsidR="00270413" w:rsidRPr="00FC44EB">
              <w:rPr>
                <w:sz w:val="14"/>
                <w:szCs w:val="14"/>
              </w:rPr>
              <w:t xml:space="preserve"> infection</w:t>
            </w:r>
            <w:r w:rsidR="004503B2" w:rsidRPr="00FC44EB">
              <w:rPr>
                <w:sz w:val="14"/>
                <w:szCs w:val="14"/>
              </w:rPr>
              <w:t xml:space="preserve"> diagnostic testing </w:t>
            </w:r>
            <w:r>
              <w:rPr>
                <w:sz w:val="14"/>
                <w:szCs w:val="14"/>
              </w:rPr>
              <w:t>is</w:t>
            </w:r>
            <w:r w:rsidR="00DC1A25">
              <w:rPr>
                <w:sz w:val="14"/>
                <w:szCs w:val="14"/>
              </w:rPr>
              <w:t xml:space="preserve"> </w:t>
            </w:r>
            <w:r w:rsidR="004503B2" w:rsidRPr="00FC44EB">
              <w:rPr>
                <w:sz w:val="14"/>
                <w:szCs w:val="14"/>
              </w:rPr>
              <w:t xml:space="preserve">a routine part of </w:t>
            </w:r>
            <w:r w:rsidR="00A74BF5" w:rsidRPr="00FC44EB">
              <w:rPr>
                <w:sz w:val="14"/>
                <w:szCs w:val="14"/>
              </w:rPr>
              <w:t xml:space="preserve">respiratory </w:t>
            </w:r>
            <w:r w:rsidR="00270413" w:rsidRPr="00FC44EB">
              <w:rPr>
                <w:sz w:val="14"/>
                <w:szCs w:val="14"/>
              </w:rPr>
              <w:t xml:space="preserve">and febrile </w:t>
            </w:r>
            <w:r w:rsidR="004503B2" w:rsidRPr="00FC44EB">
              <w:rPr>
                <w:sz w:val="14"/>
                <w:szCs w:val="14"/>
              </w:rPr>
              <w:t xml:space="preserve">disease diagnosis, </w:t>
            </w:r>
            <w:r w:rsidR="00270413" w:rsidRPr="00FC44EB">
              <w:rPr>
                <w:sz w:val="14"/>
                <w:szCs w:val="14"/>
              </w:rPr>
              <w:t>a new surveillance test might not be necessary</w:t>
            </w:r>
            <w:r>
              <w:rPr>
                <w:sz w:val="14"/>
                <w:szCs w:val="14"/>
              </w:rPr>
              <w:t>.</w:t>
            </w:r>
            <w:r w:rsidR="00270413" w:rsidRPr="00FC44EB">
              <w:rPr>
                <w:sz w:val="14"/>
                <w:szCs w:val="14"/>
              </w:rPr>
              <w:t xml:space="preserve"> </w:t>
            </w:r>
            <w:r>
              <w:rPr>
                <w:sz w:val="14"/>
                <w:szCs w:val="14"/>
              </w:rPr>
              <w:t xml:space="preserve">Instead, </w:t>
            </w:r>
            <w:r w:rsidR="004503B2" w:rsidRPr="00FC44EB">
              <w:rPr>
                <w:sz w:val="14"/>
                <w:szCs w:val="14"/>
              </w:rPr>
              <w:t xml:space="preserve">only </w:t>
            </w:r>
            <w:r w:rsidR="000F7F16">
              <w:rPr>
                <w:sz w:val="14"/>
                <w:szCs w:val="14"/>
              </w:rPr>
              <w:t xml:space="preserve">properly updated and deployed </w:t>
            </w:r>
            <w:r w:rsidR="004503B2" w:rsidRPr="00FC44EB">
              <w:rPr>
                <w:sz w:val="14"/>
                <w:szCs w:val="14"/>
              </w:rPr>
              <w:t>ICT is needed to report results in real time</w:t>
            </w:r>
            <w:r w:rsidR="00DB3A0D" w:rsidRPr="00FC44EB">
              <w:rPr>
                <w:sz w:val="14"/>
                <w:szCs w:val="14"/>
              </w:rPr>
              <w:t>.</w:t>
            </w:r>
          </w:p>
          <w:p w14:paraId="61A106B9" w14:textId="4D2F88E7" w:rsidR="004503B2" w:rsidRPr="00FC44EB" w:rsidRDefault="004503B2"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If </w:t>
            </w:r>
            <w:r w:rsidR="00270413" w:rsidRPr="00FC44EB">
              <w:rPr>
                <w:sz w:val="14"/>
                <w:szCs w:val="14"/>
              </w:rPr>
              <w:t>SARS-CoV-2</w:t>
            </w:r>
            <w:r w:rsidRPr="00FC44EB">
              <w:rPr>
                <w:sz w:val="14"/>
                <w:szCs w:val="14"/>
              </w:rPr>
              <w:t xml:space="preserve"> </w:t>
            </w:r>
            <w:r w:rsidR="000F7F16">
              <w:rPr>
                <w:sz w:val="14"/>
                <w:szCs w:val="14"/>
              </w:rPr>
              <w:t xml:space="preserve">virus </w:t>
            </w:r>
            <w:r w:rsidRPr="00FC44EB">
              <w:rPr>
                <w:sz w:val="14"/>
                <w:szCs w:val="14"/>
              </w:rPr>
              <w:t xml:space="preserve">diagnostics are not routine, the determination of a new outbreak would require surveillance of some portion of the </w:t>
            </w:r>
            <w:r w:rsidR="00A74BF5" w:rsidRPr="00FC44EB">
              <w:rPr>
                <w:sz w:val="14"/>
                <w:szCs w:val="14"/>
              </w:rPr>
              <w:t xml:space="preserve">respiratory </w:t>
            </w:r>
            <w:r w:rsidR="00270413" w:rsidRPr="00FC44EB">
              <w:rPr>
                <w:sz w:val="14"/>
                <w:szCs w:val="14"/>
              </w:rPr>
              <w:t xml:space="preserve">and febrile </w:t>
            </w:r>
            <w:r w:rsidR="00A74BF5" w:rsidRPr="00FC44EB">
              <w:rPr>
                <w:sz w:val="14"/>
                <w:szCs w:val="14"/>
              </w:rPr>
              <w:t>disease</w:t>
            </w:r>
            <w:r w:rsidRPr="00FC44EB">
              <w:rPr>
                <w:sz w:val="14"/>
                <w:szCs w:val="14"/>
              </w:rPr>
              <w:t xml:space="preserve"> population, </w:t>
            </w:r>
            <w:r w:rsidR="00270413" w:rsidRPr="00FC44EB">
              <w:rPr>
                <w:sz w:val="14"/>
                <w:szCs w:val="14"/>
              </w:rPr>
              <w:t xml:space="preserve">with the </w:t>
            </w:r>
            <w:r w:rsidRPr="00FC44EB">
              <w:rPr>
                <w:sz w:val="14"/>
                <w:szCs w:val="14"/>
              </w:rPr>
              <w:t>statistical sampling size to be determined</w:t>
            </w:r>
            <w:r w:rsidR="00DB3A0D" w:rsidRPr="00FC44EB">
              <w:rPr>
                <w:sz w:val="14"/>
                <w:szCs w:val="14"/>
              </w:rPr>
              <w:t>.</w:t>
            </w:r>
          </w:p>
          <w:p w14:paraId="798BD50C" w14:textId="3AC6AFEB" w:rsidR="004503B2" w:rsidRPr="00FC44EB" w:rsidRDefault="00183388"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Turnaround</w:t>
            </w:r>
            <w:r w:rsidR="00A74BF5" w:rsidRPr="00FC44EB">
              <w:rPr>
                <w:sz w:val="14"/>
                <w:szCs w:val="14"/>
              </w:rPr>
              <w:t xml:space="preserve"> time</w:t>
            </w:r>
            <w:r w:rsidR="004503B2" w:rsidRPr="00FC44EB">
              <w:rPr>
                <w:sz w:val="14"/>
                <w:szCs w:val="14"/>
              </w:rPr>
              <w:t xml:space="preserve"> is important, but not critical</w:t>
            </w:r>
            <w:r w:rsidR="00851B9E">
              <w:rPr>
                <w:sz w:val="14"/>
                <w:szCs w:val="14"/>
              </w:rPr>
              <w:t>.</w:t>
            </w:r>
            <w:r w:rsidR="004503B2" w:rsidRPr="00FC44EB">
              <w:rPr>
                <w:sz w:val="14"/>
                <w:szCs w:val="14"/>
              </w:rPr>
              <w:t xml:space="preserve"> </w:t>
            </w:r>
          </w:p>
          <w:p w14:paraId="04793881" w14:textId="278A1A9F" w:rsidR="004503B2" w:rsidRPr="00FC44EB" w:rsidRDefault="004503B2"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 xml:space="preserve">Specificity will be a </w:t>
            </w:r>
            <w:r w:rsidR="00270413" w:rsidRPr="00FC44EB">
              <w:rPr>
                <w:sz w:val="14"/>
                <w:szCs w:val="14"/>
              </w:rPr>
              <w:t>significant</w:t>
            </w:r>
            <w:r w:rsidRPr="00FC44EB">
              <w:rPr>
                <w:sz w:val="14"/>
                <w:szCs w:val="14"/>
              </w:rPr>
              <w:t xml:space="preserve"> issue, but it is possible that confirmation assays could be used after a </w:t>
            </w:r>
            <w:r w:rsidR="00851B9E">
              <w:rPr>
                <w:sz w:val="14"/>
                <w:szCs w:val="14"/>
              </w:rPr>
              <w:t>presumptive positive</w:t>
            </w:r>
            <w:r w:rsidRPr="00FC44EB">
              <w:rPr>
                <w:sz w:val="14"/>
                <w:szCs w:val="14"/>
              </w:rPr>
              <w:t xml:space="preserve">, preferably to detect a different </w:t>
            </w:r>
            <w:r w:rsidR="00270413" w:rsidRPr="00FC44EB">
              <w:rPr>
                <w:sz w:val="14"/>
                <w:szCs w:val="14"/>
              </w:rPr>
              <w:t>viral</w:t>
            </w:r>
            <w:r w:rsidRPr="00FC44EB">
              <w:rPr>
                <w:sz w:val="14"/>
                <w:szCs w:val="14"/>
              </w:rPr>
              <w:t xml:space="preserve"> target </w:t>
            </w:r>
            <w:r w:rsidR="00E610F1" w:rsidRPr="00FC44EB">
              <w:rPr>
                <w:sz w:val="14"/>
                <w:szCs w:val="14"/>
              </w:rPr>
              <w:t>molecule</w:t>
            </w:r>
            <w:r w:rsidR="00851B9E">
              <w:rPr>
                <w:sz w:val="14"/>
                <w:szCs w:val="14"/>
              </w:rPr>
              <w:t xml:space="preserve">. RNA tests have had few false positives to date. Serology tests are more prone to false positive results, particularly in populations with less than 5% prevalence. </w:t>
            </w:r>
          </w:p>
          <w:p w14:paraId="17C6374D" w14:textId="0EB20BE6" w:rsidR="0070581C" w:rsidRPr="00FC44EB" w:rsidRDefault="00851B9E"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 Sensitivity should be high enough so that the results are indicative of the </w:t>
            </w:r>
            <w:r w:rsidR="0070581C">
              <w:rPr>
                <w:sz w:val="14"/>
                <w:szCs w:val="14"/>
              </w:rPr>
              <w:t xml:space="preserve">actual incidence or prevalence, depending on the intended use, in the tested population. Since the statistical power of a population study is very dependent upon the number of subjects tested, cost per sample is a major factor. </w:t>
            </w:r>
          </w:p>
          <w:p w14:paraId="0237E6D9" w14:textId="64269B1B" w:rsidR="004503B2" w:rsidRPr="00FC44EB" w:rsidRDefault="0070581C"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For surveillance, </w:t>
            </w:r>
            <w:r w:rsidR="00CE0468">
              <w:rPr>
                <w:sz w:val="14"/>
                <w:szCs w:val="14"/>
              </w:rPr>
              <w:t>i</w:t>
            </w:r>
            <w:r w:rsidR="004503B2" w:rsidRPr="00FC44EB">
              <w:rPr>
                <w:sz w:val="14"/>
                <w:szCs w:val="14"/>
              </w:rPr>
              <w:t>t is not necessary to test all samples independently</w:t>
            </w:r>
            <w:r w:rsidR="00CE0468">
              <w:rPr>
                <w:sz w:val="14"/>
                <w:szCs w:val="14"/>
              </w:rPr>
              <w:t>.</w:t>
            </w:r>
            <w:r w:rsidR="004503B2" w:rsidRPr="00FC44EB">
              <w:rPr>
                <w:sz w:val="14"/>
                <w:szCs w:val="14"/>
              </w:rPr>
              <w:t xml:space="preserve"> </w:t>
            </w:r>
            <w:r>
              <w:rPr>
                <w:sz w:val="14"/>
                <w:szCs w:val="14"/>
              </w:rPr>
              <w:t>M</w:t>
            </w:r>
            <w:r w:rsidR="004503B2" w:rsidRPr="00FC44EB">
              <w:rPr>
                <w:sz w:val="14"/>
                <w:szCs w:val="14"/>
              </w:rPr>
              <w:t>olecular labeling methods could make this approach economically feasible</w:t>
            </w:r>
            <w:r w:rsidR="00CE0468">
              <w:rPr>
                <w:sz w:val="14"/>
                <w:szCs w:val="14"/>
              </w:rPr>
              <w:t xml:space="preserve"> in NGS protocols</w:t>
            </w:r>
            <w:r w:rsidR="00DB3A0D" w:rsidRPr="00FC44EB">
              <w:rPr>
                <w:sz w:val="14"/>
                <w:szCs w:val="14"/>
              </w:rPr>
              <w:t>.</w:t>
            </w:r>
            <w:r w:rsidR="0067353B">
              <w:rPr>
                <w:sz w:val="14"/>
                <w:szCs w:val="14"/>
              </w:rPr>
              <w:t xml:space="preserve"> However, the low level of virus in early and late infection has resulted in concerns about the potential</w:t>
            </w:r>
            <w:r>
              <w:rPr>
                <w:sz w:val="14"/>
                <w:szCs w:val="14"/>
              </w:rPr>
              <w:t xml:space="preserve"> number of false negative results in</w:t>
            </w:r>
            <w:r w:rsidR="0067353B">
              <w:rPr>
                <w:sz w:val="14"/>
                <w:szCs w:val="14"/>
              </w:rPr>
              <w:t xml:space="preserve"> pool</w:t>
            </w:r>
            <w:r>
              <w:rPr>
                <w:sz w:val="14"/>
                <w:szCs w:val="14"/>
              </w:rPr>
              <w:t xml:space="preserve">ed samples using PCR.  </w:t>
            </w:r>
            <w:r w:rsidR="0067353B">
              <w:rPr>
                <w:sz w:val="14"/>
                <w:szCs w:val="14"/>
              </w:rPr>
              <w:t xml:space="preserve"> </w:t>
            </w:r>
          </w:p>
          <w:p w14:paraId="359FC6E8" w14:textId="6991BC0C" w:rsidR="004503B2" w:rsidRPr="00FC44EB" w:rsidRDefault="004503B2" w:rsidP="004503B2">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sidRPr="00FC44EB">
              <w:rPr>
                <w:sz w:val="14"/>
                <w:szCs w:val="14"/>
              </w:rPr>
              <w:t>ICT systems to alert key stakeholders</w:t>
            </w:r>
            <w:r w:rsidR="007B0005" w:rsidRPr="00FC44EB">
              <w:rPr>
                <w:sz w:val="14"/>
                <w:szCs w:val="14"/>
              </w:rPr>
              <w:t>,</w:t>
            </w:r>
            <w:r w:rsidRPr="00FC44EB">
              <w:rPr>
                <w:sz w:val="14"/>
                <w:szCs w:val="14"/>
              </w:rPr>
              <w:t xml:space="preserve"> coupled to a planned response</w:t>
            </w:r>
            <w:r w:rsidR="007B0005" w:rsidRPr="00FC44EB">
              <w:rPr>
                <w:sz w:val="14"/>
                <w:szCs w:val="14"/>
              </w:rPr>
              <w:t>,</w:t>
            </w:r>
            <w:r w:rsidRPr="00FC44EB">
              <w:rPr>
                <w:sz w:val="14"/>
                <w:szCs w:val="14"/>
              </w:rPr>
              <w:t xml:space="preserve"> would be essential</w:t>
            </w:r>
            <w:r w:rsidR="00DB3A0D" w:rsidRPr="00FC44EB">
              <w:rPr>
                <w:sz w:val="14"/>
                <w:szCs w:val="14"/>
              </w:rPr>
              <w:t>.</w:t>
            </w:r>
          </w:p>
          <w:p w14:paraId="2C920A18" w14:textId="5C58D637" w:rsidR="004503B2" w:rsidRPr="00FC44EB" w:rsidRDefault="004503B2" w:rsidP="004503B2">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r>
      <w:tr w:rsidR="003D70C4" w:rsidRPr="00AD4071" w14:paraId="373A0FFB" w14:textId="77777777" w:rsidTr="003D70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tcPr>
          <w:p w14:paraId="7FB25D1F" w14:textId="46E83E93" w:rsidR="00F57E58" w:rsidRPr="00004C0A" w:rsidRDefault="00F57E58" w:rsidP="00940A44">
            <w:pPr>
              <w:pStyle w:val="ListParagraph"/>
              <w:numPr>
                <w:ilvl w:val="0"/>
                <w:numId w:val="7"/>
              </w:numPr>
              <w:ind w:left="155" w:hanging="155"/>
              <w:rPr>
                <w:sz w:val="14"/>
                <w:szCs w:val="14"/>
              </w:rPr>
            </w:pPr>
            <w:r w:rsidRPr="00004C0A">
              <w:rPr>
                <w:sz w:val="14"/>
                <w:szCs w:val="14"/>
              </w:rPr>
              <w:lastRenderedPageBreak/>
              <w:t xml:space="preserve">Environmental </w:t>
            </w:r>
            <w:r w:rsidR="004503B2" w:rsidRPr="00004C0A">
              <w:rPr>
                <w:sz w:val="14"/>
                <w:szCs w:val="14"/>
              </w:rPr>
              <w:t>m</w:t>
            </w:r>
            <w:r w:rsidRPr="00004C0A">
              <w:rPr>
                <w:sz w:val="14"/>
                <w:szCs w:val="14"/>
              </w:rPr>
              <w:t>onitoring</w:t>
            </w:r>
          </w:p>
        </w:tc>
        <w:tc>
          <w:tcPr>
            <w:tcW w:w="974" w:type="pct"/>
          </w:tcPr>
          <w:p w14:paraId="2F8A8959" w14:textId="0FC1A81C" w:rsidR="004508F1" w:rsidRDefault="00F57E58" w:rsidP="00F57E58">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 xml:space="preserve">The intended use is to monitor for the presence of </w:t>
            </w:r>
            <w:r w:rsidR="00FD1F2A" w:rsidRPr="00004C0A">
              <w:rPr>
                <w:sz w:val="14"/>
                <w:szCs w:val="14"/>
              </w:rPr>
              <w:t>SARS-CoV-2</w:t>
            </w:r>
            <w:r w:rsidRPr="00004C0A">
              <w:rPr>
                <w:sz w:val="14"/>
                <w:szCs w:val="14"/>
              </w:rPr>
              <w:t xml:space="preserve"> </w:t>
            </w:r>
            <w:r w:rsidR="004508F1">
              <w:rPr>
                <w:sz w:val="14"/>
                <w:szCs w:val="14"/>
              </w:rPr>
              <w:t xml:space="preserve">within a specific </w:t>
            </w:r>
            <w:r w:rsidR="00645DE3">
              <w:rPr>
                <w:sz w:val="14"/>
                <w:szCs w:val="14"/>
              </w:rPr>
              <w:t>environment</w:t>
            </w:r>
            <w:r w:rsidR="00CE0468">
              <w:rPr>
                <w:sz w:val="14"/>
                <w:szCs w:val="14"/>
              </w:rPr>
              <w:t xml:space="preserve"> of interest </w:t>
            </w:r>
          </w:p>
          <w:p w14:paraId="23BCF97D" w14:textId="7510E1EF" w:rsidR="004508F1" w:rsidRDefault="004508F1" w:rsidP="00F57E58">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Th</w:t>
            </w:r>
            <w:r w:rsidR="00CE0468">
              <w:rPr>
                <w:sz w:val="14"/>
                <w:szCs w:val="14"/>
              </w:rPr>
              <w:t>e intended use</w:t>
            </w:r>
            <w:r>
              <w:rPr>
                <w:sz w:val="14"/>
                <w:szCs w:val="14"/>
              </w:rPr>
              <w:t xml:space="preserve"> is not </w:t>
            </w:r>
            <w:r w:rsidR="00645DE3">
              <w:rPr>
                <w:sz w:val="14"/>
                <w:szCs w:val="14"/>
              </w:rPr>
              <w:t>detection of SARS-CoV-2 within infected persons</w:t>
            </w:r>
          </w:p>
          <w:p w14:paraId="592730A8" w14:textId="4918E1C0" w:rsidR="00F57E58" w:rsidRPr="00004C0A" w:rsidRDefault="00645DE3" w:rsidP="00F57E58">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Places to monitor the </w:t>
            </w:r>
            <w:r w:rsidR="000F7F16" w:rsidRPr="00004C0A">
              <w:rPr>
                <w:sz w:val="14"/>
                <w:szCs w:val="14"/>
              </w:rPr>
              <w:t xml:space="preserve">virus </w:t>
            </w:r>
            <w:r>
              <w:rPr>
                <w:sz w:val="14"/>
                <w:szCs w:val="14"/>
              </w:rPr>
              <w:t>in the environment could include</w:t>
            </w:r>
            <w:r w:rsidR="00F57E58" w:rsidRPr="00004C0A">
              <w:rPr>
                <w:sz w:val="14"/>
                <w:szCs w:val="14"/>
              </w:rPr>
              <w:t xml:space="preserve"> surfaces, air</w:t>
            </w:r>
            <w:r w:rsidR="005A3CB3" w:rsidRPr="00004C0A">
              <w:rPr>
                <w:sz w:val="14"/>
                <w:szCs w:val="14"/>
              </w:rPr>
              <w:t xml:space="preserve">, </w:t>
            </w:r>
            <w:r w:rsidR="00CE0468">
              <w:rPr>
                <w:sz w:val="14"/>
                <w:szCs w:val="14"/>
              </w:rPr>
              <w:t xml:space="preserve">water, </w:t>
            </w:r>
            <w:r w:rsidR="005A3CB3" w:rsidRPr="00004C0A">
              <w:rPr>
                <w:sz w:val="14"/>
                <w:szCs w:val="14"/>
              </w:rPr>
              <w:t>latrines</w:t>
            </w:r>
            <w:r w:rsidR="00BF3FE1" w:rsidRPr="00004C0A">
              <w:rPr>
                <w:sz w:val="14"/>
                <w:szCs w:val="14"/>
              </w:rPr>
              <w:t>,</w:t>
            </w:r>
            <w:r w:rsidR="00CE0468">
              <w:rPr>
                <w:sz w:val="14"/>
                <w:szCs w:val="14"/>
              </w:rPr>
              <w:t xml:space="preserve"> </w:t>
            </w:r>
            <w:r w:rsidR="00E610F1" w:rsidRPr="00004C0A">
              <w:rPr>
                <w:sz w:val="14"/>
                <w:szCs w:val="14"/>
              </w:rPr>
              <w:t xml:space="preserve">or other </w:t>
            </w:r>
            <w:r w:rsidR="00CE0468">
              <w:rPr>
                <w:sz w:val="14"/>
                <w:szCs w:val="14"/>
              </w:rPr>
              <w:t>sources</w:t>
            </w:r>
            <w:r w:rsidR="00FD1F2A" w:rsidRPr="00004C0A">
              <w:rPr>
                <w:sz w:val="14"/>
                <w:szCs w:val="14"/>
              </w:rPr>
              <w:t xml:space="preserve"> of interest</w:t>
            </w:r>
            <w:r w:rsidR="00DB3A0D" w:rsidRPr="00004C0A">
              <w:rPr>
                <w:sz w:val="14"/>
                <w:szCs w:val="14"/>
              </w:rPr>
              <w:t>.</w:t>
            </w:r>
          </w:p>
          <w:p w14:paraId="642EEDF0" w14:textId="4DEDAA5D" w:rsidR="00F57E58" w:rsidRDefault="005A3CB3" w:rsidP="005A3CB3">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Could be used in healthcare</w:t>
            </w:r>
            <w:r w:rsidR="00CE0468">
              <w:rPr>
                <w:sz w:val="14"/>
                <w:szCs w:val="14"/>
              </w:rPr>
              <w:t xml:space="preserve"> facilities</w:t>
            </w:r>
            <w:r w:rsidRPr="00004C0A">
              <w:rPr>
                <w:sz w:val="14"/>
                <w:szCs w:val="14"/>
              </w:rPr>
              <w:t xml:space="preserve">, </w:t>
            </w:r>
            <w:r w:rsidR="00CE0468">
              <w:rPr>
                <w:sz w:val="14"/>
                <w:szCs w:val="14"/>
              </w:rPr>
              <w:t>housing</w:t>
            </w:r>
            <w:r w:rsidRPr="00004C0A">
              <w:rPr>
                <w:sz w:val="14"/>
                <w:szCs w:val="14"/>
              </w:rPr>
              <w:t>, businesses and other places of crowded occupation</w:t>
            </w:r>
            <w:r w:rsidR="00DB3A0D" w:rsidRPr="00004C0A">
              <w:rPr>
                <w:sz w:val="14"/>
                <w:szCs w:val="14"/>
              </w:rPr>
              <w:t>.</w:t>
            </w:r>
          </w:p>
          <w:p w14:paraId="78AB5E6D" w14:textId="3B53A1C2" w:rsidR="00643D6D" w:rsidRPr="00004C0A" w:rsidRDefault="00645DE3" w:rsidP="005A3CB3">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Could be desirable to monitor the specific </w:t>
            </w:r>
            <w:r w:rsidR="00CE0468">
              <w:rPr>
                <w:sz w:val="14"/>
                <w:szCs w:val="14"/>
              </w:rPr>
              <w:t xml:space="preserve">SARS-CoV-2 </w:t>
            </w:r>
            <w:r>
              <w:rPr>
                <w:sz w:val="14"/>
                <w:szCs w:val="14"/>
              </w:rPr>
              <w:t>variant present to gain information concerning the source of contamination</w:t>
            </w:r>
          </w:p>
        </w:tc>
        <w:tc>
          <w:tcPr>
            <w:tcW w:w="974" w:type="pct"/>
          </w:tcPr>
          <w:p w14:paraId="138C72BC" w14:textId="0FFBAAC6" w:rsidR="00C24A18" w:rsidRPr="00004C0A" w:rsidRDefault="00F57E5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 xml:space="preserve">Sample </w:t>
            </w:r>
            <w:r w:rsidR="00C24A18" w:rsidRPr="00004C0A">
              <w:rPr>
                <w:sz w:val="14"/>
                <w:szCs w:val="14"/>
              </w:rPr>
              <w:t xml:space="preserve">collection, transport, </w:t>
            </w:r>
            <w:r w:rsidRPr="00004C0A">
              <w:rPr>
                <w:sz w:val="14"/>
                <w:szCs w:val="14"/>
              </w:rPr>
              <w:t xml:space="preserve">elution, </w:t>
            </w:r>
            <w:r w:rsidR="00C24A18" w:rsidRPr="00004C0A">
              <w:rPr>
                <w:sz w:val="14"/>
                <w:szCs w:val="14"/>
              </w:rPr>
              <w:t>purification,</w:t>
            </w:r>
            <w:r w:rsidRPr="00004C0A">
              <w:rPr>
                <w:sz w:val="14"/>
                <w:szCs w:val="14"/>
              </w:rPr>
              <w:t xml:space="preserve"> concentration and other sample preparation steps are likely to be highly variable</w:t>
            </w:r>
            <w:r w:rsidR="00DB3A0D" w:rsidRPr="00004C0A">
              <w:rPr>
                <w:sz w:val="14"/>
                <w:szCs w:val="14"/>
              </w:rPr>
              <w:t>.</w:t>
            </w:r>
          </w:p>
          <w:p w14:paraId="1035C69A" w14:textId="16E8103F" w:rsidR="00F57E58" w:rsidRPr="00004C0A" w:rsidRDefault="00C24A1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T</w:t>
            </w:r>
            <w:r w:rsidR="00FD1F2A" w:rsidRPr="00004C0A">
              <w:rPr>
                <w:sz w:val="14"/>
                <w:szCs w:val="14"/>
              </w:rPr>
              <w:t>echnology that collects and preserves target molecules will be required</w:t>
            </w:r>
            <w:r w:rsidR="00DB3A0D" w:rsidRPr="00004C0A">
              <w:rPr>
                <w:sz w:val="14"/>
                <w:szCs w:val="14"/>
              </w:rPr>
              <w:t>.</w:t>
            </w:r>
          </w:p>
          <w:p w14:paraId="06A2034A" w14:textId="43968A1C" w:rsidR="00C24A18" w:rsidRPr="00004C0A" w:rsidRDefault="00C24A1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 xml:space="preserve">It is possible that tests of viral RNA, protein or other components might not correlate with infectivity. </w:t>
            </w:r>
            <w:r w:rsidR="00923970" w:rsidRPr="00004C0A">
              <w:rPr>
                <w:sz w:val="14"/>
                <w:szCs w:val="14"/>
              </w:rPr>
              <w:t>Therefore,</w:t>
            </w:r>
            <w:r w:rsidRPr="00004C0A">
              <w:rPr>
                <w:sz w:val="14"/>
                <w:szCs w:val="14"/>
              </w:rPr>
              <w:t xml:space="preserve"> additional information could be required (e.g., intact RNA versus fragments</w:t>
            </w:r>
            <w:r w:rsidR="00645DE3">
              <w:rPr>
                <w:sz w:val="14"/>
                <w:szCs w:val="14"/>
              </w:rPr>
              <w:t xml:space="preserve"> or ability to culture virus)</w:t>
            </w:r>
            <w:r w:rsidR="00DB3A0D" w:rsidRPr="00004C0A">
              <w:rPr>
                <w:sz w:val="14"/>
                <w:szCs w:val="14"/>
              </w:rPr>
              <w:t>.</w:t>
            </w:r>
          </w:p>
          <w:p w14:paraId="615278A7" w14:textId="768B0DA8" w:rsidR="00F57E58" w:rsidRPr="00004C0A" w:rsidRDefault="00F57E58" w:rsidP="000F63F3">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c>
          <w:tcPr>
            <w:tcW w:w="812" w:type="pct"/>
          </w:tcPr>
          <w:p w14:paraId="59827A6D" w14:textId="3F96F56D" w:rsidR="00F57E58" w:rsidRPr="00004C0A" w:rsidRDefault="00F57E5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 xml:space="preserve">Given the potentially diverse sample types, collection devices and procedures, sample preparation methods can be quite different from other </w:t>
            </w:r>
            <w:r w:rsidR="00CD424B" w:rsidRPr="00004C0A">
              <w:rPr>
                <w:sz w:val="14"/>
                <w:szCs w:val="14"/>
              </w:rPr>
              <w:t>U</w:t>
            </w:r>
            <w:r w:rsidRPr="00004C0A">
              <w:rPr>
                <w:sz w:val="14"/>
                <w:szCs w:val="14"/>
              </w:rPr>
              <w:t xml:space="preserve">se </w:t>
            </w:r>
            <w:r w:rsidR="00CD424B" w:rsidRPr="00004C0A">
              <w:rPr>
                <w:sz w:val="14"/>
                <w:szCs w:val="14"/>
              </w:rPr>
              <w:t>C</w:t>
            </w:r>
            <w:r w:rsidRPr="00004C0A">
              <w:rPr>
                <w:sz w:val="14"/>
                <w:szCs w:val="14"/>
              </w:rPr>
              <w:t>ases</w:t>
            </w:r>
            <w:r w:rsidR="00645DE3">
              <w:rPr>
                <w:sz w:val="14"/>
                <w:szCs w:val="14"/>
              </w:rPr>
              <w:t xml:space="preserve"> (e.g., swabs of surfaces, latrine samples,</w:t>
            </w:r>
            <w:r w:rsidR="00026960">
              <w:rPr>
                <w:sz w:val="14"/>
                <w:szCs w:val="14"/>
              </w:rPr>
              <w:t xml:space="preserve"> water samples,</w:t>
            </w:r>
            <w:r w:rsidR="00645DE3">
              <w:rPr>
                <w:sz w:val="14"/>
                <w:szCs w:val="14"/>
              </w:rPr>
              <w:t xml:space="preserve"> air filters)</w:t>
            </w:r>
          </w:p>
          <w:p w14:paraId="7D9F9C68" w14:textId="5FC40C57" w:rsidR="00F57E58" w:rsidRPr="00004C0A" w:rsidRDefault="00F57E5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Consideration should be given to how various sample collection media, sample and target analyte handling, transportation, storage</w:t>
            </w:r>
            <w:r w:rsidR="007B0005" w:rsidRPr="00004C0A">
              <w:rPr>
                <w:sz w:val="14"/>
                <w:szCs w:val="14"/>
              </w:rPr>
              <w:t>,</w:t>
            </w:r>
            <w:r w:rsidRPr="00004C0A">
              <w:rPr>
                <w:sz w:val="14"/>
                <w:szCs w:val="14"/>
              </w:rPr>
              <w:t xml:space="preserve"> and stability</w:t>
            </w:r>
            <w:r w:rsidR="00183388" w:rsidRPr="00004C0A">
              <w:rPr>
                <w:sz w:val="14"/>
                <w:szCs w:val="14"/>
              </w:rPr>
              <w:t xml:space="preserve"> considerations are handled</w:t>
            </w:r>
            <w:r w:rsidR="00DB3A0D" w:rsidRPr="00004C0A">
              <w:rPr>
                <w:sz w:val="14"/>
                <w:szCs w:val="14"/>
              </w:rPr>
              <w:t>.</w:t>
            </w:r>
          </w:p>
          <w:p w14:paraId="456D60BE" w14:textId="2CD7E5F1" w:rsidR="00C24A18" w:rsidRPr="00004C0A" w:rsidRDefault="00C24A18" w:rsidP="00F57E5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It is possible that many samples can be combined to decrease cost</w:t>
            </w:r>
            <w:r w:rsidR="00DB3A0D" w:rsidRPr="00004C0A">
              <w:rPr>
                <w:sz w:val="14"/>
                <w:szCs w:val="14"/>
              </w:rPr>
              <w:t>.</w:t>
            </w:r>
          </w:p>
          <w:p w14:paraId="33EB7EA7" w14:textId="240970D8" w:rsidR="00F57E58" w:rsidRPr="00004C0A" w:rsidRDefault="00F57E58" w:rsidP="00F57E58">
            <w:pPr>
              <w:pStyle w:val="ListParagraph"/>
              <w:ind w:left="162"/>
              <w:cnfStyle w:val="000000100000" w:firstRow="0" w:lastRow="0" w:firstColumn="0" w:lastColumn="0" w:oddVBand="0" w:evenVBand="0" w:oddHBand="1" w:evenHBand="0" w:firstRowFirstColumn="0" w:firstRowLastColumn="0" w:lastRowFirstColumn="0" w:lastRowLastColumn="0"/>
              <w:rPr>
                <w:sz w:val="14"/>
                <w:szCs w:val="14"/>
              </w:rPr>
            </w:pPr>
          </w:p>
        </w:tc>
        <w:tc>
          <w:tcPr>
            <w:tcW w:w="1754" w:type="pct"/>
          </w:tcPr>
          <w:p w14:paraId="613DC1E7" w14:textId="73C40CA3" w:rsidR="005A3CB3" w:rsidRDefault="005A3CB3"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 xml:space="preserve">Test results could be used to verify that </w:t>
            </w:r>
            <w:r w:rsidR="00C24A18" w:rsidRPr="00004C0A">
              <w:rPr>
                <w:sz w:val="14"/>
                <w:szCs w:val="14"/>
              </w:rPr>
              <w:t xml:space="preserve">sites where people gather are </w:t>
            </w:r>
            <w:r w:rsidR="00645DE3">
              <w:rPr>
                <w:sz w:val="14"/>
                <w:szCs w:val="14"/>
              </w:rPr>
              <w:t xml:space="preserve">potentially </w:t>
            </w:r>
            <w:r w:rsidR="00C24A18" w:rsidRPr="00004C0A">
              <w:rPr>
                <w:sz w:val="14"/>
                <w:szCs w:val="14"/>
              </w:rPr>
              <w:t>free of SARS-CoV-2</w:t>
            </w:r>
            <w:r w:rsidR="000F7F16" w:rsidRPr="00004C0A">
              <w:rPr>
                <w:sz w:val="14"/>
                <w:szCs w:val="14"/>
              </w:rPr>
              <w:t xml:space="preserve"> virus</w:t>
            </w:r>
            <w:r w:rsidR="00C24A18" w:rsidRPr="00004C0A">
              <w:rPr>
                <w:sz w:val="14"/>
                <w:szCs w:val="14"/>
              </w:rPr>
              <w:t xml:space="preserve"> contamination: </w:t>
            </w:r>
            <w:r w:rsidRPr="00004C0A">
              <w:rPr>
                <w:sz w:val="14"/>
                <w:szCs w:val="14"/>
              </w:rPr>
              <w:t xml:space="preserve">healthcare facilities, </w:t>
            </w:r>
            <w:r w:rsidR="00C24A18" w:rsidRPr="00004C0A">
              <w:rPr>
                <w:sz w:val="14"/>
                <w:szCs w:val="14"/>
              </w:rPr>
              <w:t xml:space="preserve">assisted living sites, </w:t>
            </w:r>
            <w:r w:rsidRPr="00004C0A">
              <w:rPr>
                <w:sz w:val="14"/>
                <w:szCs w:val="14"/>
              </w:rPr>
              <w:t xml:space="preserve">residential areas, food vendors, </w:t>
            </w:r>
            <w:r w:rsidR="000F7F16" w:rsidRPr="00004C0A">
              <w:rPr>
                <w:sz w:val="14"/>
                <w:szCs w:val="14"/>
              </w:rPr>
              <w:t xml:space="preserve">food processors, </w:t>
            </w:r>
            <w:r w:rsidRPr="00004C0A">
              <w:rPr>
                <w:sz w:val="14"/>
                <w:szCs w:val="14"/>
              </w:rPr>
              <w:t xml:space="preserve">schools,  restaurants, </w:t>
            </w:r>
            <w:r w:rsidR="00C24A18" w:rsidRPr="00004C0A">
              <w:rPr>
                <w:sz w:val="14"/>
                <w:szCs w:val="14"/>
              </w:rPr>
              <w:t xml:space="preserve">hotels, </w:t>
            </w:r>
            <w:r w:rsidRPr="00004C0A">
              <w:rPr>
                <w:sz w:val="14"/>
                <w:szCs w:val="14"/>
              </w:rPr>
              <w:t>sports facilities</w:t>
            </w:r>
            <w:r w:rsidR="00BA138E" w:rsidRPr="00004C0A">
              <w:rPr>
                <w:sz w:val="14"/>
                <w:szCs w:val="14"/>
              </w:rPr>
              <w:t>, prisons, coffee shops</w:t>
            </w:r>
            <w:r w:rsidR="00C24A18" w:rsidRPr="00004C0A">
              <w:rPr>
                <w:sz w:val="14"/>
                <w:szCs w:val="14"/>
              </w:rPr>
              <w:t>, airplanes</w:t>
            </w:r>
            <w:r w:rsidR="007B0005" w:rsidRPr="00004C0A">
              <w:rPr>
                <w:sz w:val="14"/>
                <w:szCs w:val="14"/>
              </w:rPr>
              <w:t>,</w:t>
            </w:r>
            <w:r w:rsidRPr="00004C0A">
              <w:rPr>
                <w:sz w:val="14"/>
                <w:szCs w:val="14"/>
              </w:rPr>
              <w:t xml:space="preserve"> </w:t>
            </w:r>
            <w:r w:rsidR="00B13DC7">
              <w:rPr>
                <w:sz w:val="14"/>
                <w:szCs w:val="14"/>
              </w:rPr>
              <w:t xml:space="preserve">rental cars </w:t>
            </w:r>
            <w:r w:rsidRPr="00004C0A">
              <w:rPr>
                <w:sz w:val="14"/>
                <w:szCs w:val="14"/>
              </w:rPr>
              <w:t>and other</w:t>
            </w:r>
            <w:r w:rsidR="00C24A18" w:rsidRPr="00004C0A">
              <w:rPr>
                <w:sz w:val="14"/>
                <w:szCs w:val="14"/>
              </w:rPr>
              <w:t>s</w:t>
            </w:r>
            <w:r w:rsidR="00DB3A0D" w:rsidRPr="00004C0A">
              <w:rPr>
                <w:sz w:val="14"/>
                <w:szCs w:val="14"/>
              </w:rPr>
              <w:t>.</w:t>
            </w:r>
            <w:r w:rsidRPr="00004C0A">
              <w:rPr>
                <w:sz w:val="14"/>
                <w:szCs w:val="14"/>
              </w:rPr>
              <w:t xml:space="preserve"> </w:t>
            </w:r>
          </w:p>
          <w:p w14:paraId="2C79A902" w14:textId="1C789A99" w:rsidR="00B13DC7" w:rsidRPr="00004C0A" w:rsidRDefault="00B13DC7"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As opposed to testing each location or item over time, it could be far more practical and cost effective to validate the cleaning protocols. </w:t>
            </w:r>
          </w:p>
          <w:p w14:paraId="239F66C2" w14:textId="59CFA171" w:rsidR="00F57E58" w:rsidRPr="00004C0A" w:rsidRDefault="00F57E58"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 xml:space="preserve">Cost targets would need to be quite low for any routine monitoring use, </w:t>
            </w:r>
            <w:r w:rsidR="003814C4" w:rsidRPr="00004C0A">
              <w:rPr>
                <w:sz w:val="14"/>
                <w:szCs w:val="14"/>
              </w:rPr>
              <w:t xml:space="preserve">and </w:t>
            </w:r>
            <w:r w:rsidRPr="00004C0A">
              <w:rPr>
                <w:sz w:val="14"/>
                <w:szCs w:val="14"/>
              </w:rPr>
              <w:t>higher for infrequent verification or process validation use</w:t>
            </w:r>
            <w:r w:rsidR="00B13DC7">
              <w:rPr>
                <w:sz w:val="14"/>
                <w:szCs w:val="14"/>
              </w:rPr>
              <w:t>s</w:t>
            </w:r>
            <w:r w:rsidRPr="00004C0A">
              <w:rPr>
                <w:sz w:val="14"/>
                <w:szCs w:val="14"/>
              </w:rPr>
              <w:t xml:space="preserve">.  </w:t>
            </w:r>
          </w:p>
          <w:p w14:paraId="448E590B" w14:textId="67A63C31" w:rsidR="00B13DC7" w:rsidRPr="00004C0A" w:rsidRDefault="00B13DC7"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Careful consideration </w:t>
            </w:r>
            <w:r w:rsidR="00A8316A">
              <w:rPr>
                <w:sz w:val="14"/>
                <w:szCs w:val="14"/>
              </w:rPr>
              <w:t>is</w:t>
            </w:r>
            <w:r>
              <w:rPr>
                <w:sz w:val="14"/>
                <w:szCs w:val="14"/>
              </w:rPr>
              <w:t xml:space="preserve"> required for the process</w:t>
            </w:r>
            <w:r w:rsidR="00A8316A">
              <w:rPr>
                <w:sz w:val="14"/>
                <w:szCs w:val="14"/>
              </w:rPr>
              <w:t>es</w:t>
            </w:r>
            <w:r>
              <w:rPr>
                <w:sz w:val="14"/>
                <w:szCs w:val="14"/>
              </w:rPr>
              <w:t xml:space="preserve"> to collect and store samples depending upon risk of contamination</w:t>
            </w:r>
            <w:r w:rsidR="00A8316A">
              <w:rPr>
                <w:sz w:val="14"/>
                <w:szCs w:val="14"/>
              </w:rPr>
              <w:t xml:space="preserve"> during sampling</w:t>
            </w:r>
            <w:r>
              <w:rPr>
                <w:sz w:val="14"/>
                <w:szCs w:val="14"/>
              </w:rPr>
              <w:t xml:space="preserve">. Collection of air samples from city parks probably requires less personal protection </w:t>
            </w:r>
            <w:r w:rsidR="00A8316A">
              <w:rPr>
                <w:sz w:val="14"/>
                <w:szCs w:val="14"/>
              </w:rPr>
              <w:t>than</w:t>
            </w:r>
            <w:r>
              <w:rPr>
                <w:sz w:val="14"/>
                <w:szCs w:val="14"/>
              </w:rPr>
              <w:t xml:space="preserve"> sampling </w:t>
            </w:r>
            <w:r w:rsidR="00A8316A">
              <w:rPr>
                <w:sz w:val="14"/>
                <w:szCs w:val="14"/>
              </w:rPr>
              <w:t xml:space="preserve">hospital sewage. </w:t>
            </w:r>
          </w:p>
          <w:p w14:paraId="3A7FCDE2" w14:textId="3B11EE81" w:rsidR="003814C4" w:rsidRDefault="003814C4"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004C0A">
              <w:rPr>
                <w:sz w:val="14"/>
                <w:szCs w:val="14"/>
              </w:rPr>
              <w:t>It is essential that test results are meaningful. It is possible that many reports to date of long virus persistence on surfaces will not correlate with the</w:t>
            </w:r>
            <w:r w:rsidR="00923970" w:rsidRPr="00004C0A">
              <w:rPr>
                <w:sz w:val="14"/>
                <w:szCs w:val="14"/>
              </w:rPr>
              <w:t xml:space="preserve"> </w:t>
            </w:r>
            <w:r w:rsidR="00A8316A">
              <w:rPr>
                <w:sz w:val="14"/>
                <w:szCs w:val="14"/>
              </w:rPr>
              <w:t xml:space="preserve">potential infectious nature of the viral sample. </w:t>
            </w:r>
            <w:r w:rsidRPr="00004C0A">
              <w:rPr>
                <w:sz w:val="14"/>
                <w:szCs w:val="14"/>
              </w:rPr>
              <w:t xml:space="preserve">The test would be most valuable if the results could be compared to the </w:t>
            </w:r>
            <w:r w:rsidRPr="00004C0A">
              <w:rPr>
                <w:i/>
                <w:iCs/>
                <w:sz w:val="14"/>
                <w:szCs w:val="14"/>
              </w:rPr>
              <w:t>in vitro</w:t>
            </w:r>
            <w:r w:rsidRPr="00004C0A">
              <w:rPr>
                <w:sz w:val="14"/>
                <w:szCs w:val="14"/>
              </w:rPr>
              <w:t xml:space="preserve"> </w:t>
            </w:r>
            <w:r w:rsidR="00026960">
              <w:rPr>
                <w:sz w:val="14"/>
                <w:szCs w:val="14"/>
              </w:rPr>
              <w:t xml:space="preserve">cellular </w:t>
            </w:r>
            <w:r w:rsidRPr="00004C0A">
              <w:rPr>
                <w:sz w:val="14"/>
                <w:szCs w:val="14"/>
              </w:rPr>
              <w:t>infectivity of the isolated virus-derived samples. Th</w:t>
            </w:r>
            <w:r w:rsidR="007B0005" w:rsidRPr="00004C0A">
              <w:rPr>
                <w:sz w:val="14"/>
                <w:szCs w:val="14"/>
              </w:rPr>
              <w:t>is requirement for detecting infectivity</w:t>
            </w:r>
            <w:r w:rsidRPr="00004C0A">
              <w:rPr>
                <w:sz w:val="14"/>
                <w:szCs w:val="14"/>
              </w:rPr>
              <w:t xml:space="preserve"> will be a challenge for sample collection, preservation</w:t>
            </w:r>
            <w:r w:rsidR="007B0005" w:rsidRPr="00004C0A">
              <w:rPr>
                <w:sz w:val="14"/>
                <w:szCs w:val="14"/>
              </w:rPr>
              <w:t>,</w:t>
            </w:r>
            <w:r w:rsidRPr="00004C0A">
              <w:rPr>
                <w:sz w:val="14"/>
                <w:szCs w:val="14"/>
              </w:rPr>
              <w:t xml:space="preserve"> and preparation to conduct the </w:t>
            </w:r>
            <w:r w:rsidRPr="00004C0A">
              <w:rPr>
                <w:i/>
                <w:iCs/>
                <w:sz w:val="14"/>
                <w:szCs w:val="14"/>
              </w:rPr>
              <w:t>in vitro</w:t>
            </w:r>
            <w:r w:rsidRPr="00004C0A">
              <w:rPr>
                <w:sz w:val="14"/>
                <w:szCs w:val="14"/>
              </w:rPr>
              <w:t xml:space="preserve"> </w:t>
            </w:r>
            <w:r w:rsidR="00923970" w:rsidRPr="00004C0A">
              <w:rPr>
                <w:sz w:val="14"/>
                <w:szCs w:val="14"/>
              </w:rPr>
              <w:t xml:space="preserve">infectivity </w:t>
            </w:r>
            <w:r w:rsidRPr="00004C0A">
              <w:rPr>
                <w:sz w:val="14"/>
                <w:szCs w:val="14"/>
              </w:rPr>
              <w:t xml:space="preserve">testing. </w:t>
            </w:r>
          </w:p>
          <w:p w14:paraId="4F1A097E" w14:textId="31AA0804" w:rsidR="00A8316A" w:rsidRDefault="00A8316A"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Alternatively, it should be possible to show that the viral material collected is not composed of </w:t>
            </w:r>
            <w:r w:rsidR="00026960">
              <w:rPr>
                <w:sz w:val="14"/>
                <w:szCs w:val="14"/>
              </w:rPr>
              <w:t>full-length</w:t>
            </w:r>
            <w:r>
              <w:rPr>
                <w:sz w:val="14"/>
                <w:szCs w:val="14"/>
              </w:rPr>
              <w:t xml:space="preserve"> viral RNA, which would imply that material is less likely to be infectious. </w:t>
            </w:r>
          </w:p>
          <w:p w14:paraId="6C669A4B" w14:textId="0B66767F" w:rsidR="00004C0A" w:rsidRPr="00004C0A" w:rsidRDefault="00A8316A" w:rsidP="00F57E5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If NGS is used for RNA analysis it could be possible to monitor </w:t>
            </w:r>
            <w:r w:rsidR="007E6A9D">
              <w:rPr>
                <w:sz w:val="14"/>
                <w:szCs w:val="14"/>
              </w:rPr>
              <w:t>the sequence variations in samples. This could be useful to determine the number of contamination events and/or the source of the contamination.</w:t>
            </w:r>
          </w:p>
        </w:tc>
      </w:tr>
      <w:tr w:rsidR="003D70C4" w:rsidRPr="00AD4071" w14:paraId="42B06E80" w14:textId="77777777" w:rsidTr="003D70C4">
        <w:trPr>
          <w:cantSplit/>
        </w:trPr>
        <w:tc>
          <w:tcPr>
            <w:cnfStyle w:val="001000000000" w:firstRow="0" w:lastRow="0" w:firstColumn="1" w:lastColumn="0" w:oddVBand="0" w:evenVBand="0" w:oddHBand="0" w:evenHBand="0" w:firstRowFirstColumn="0" w:firstRowLastColumn="0" w:lastRowFirstColumn="0" w:lastRowLastColumn="0"/>
            <w:tcW w:w="485" w:type="pct"/>
          </w:tcPr>
          <w:p w14:paraId="6DC756DB" w14:textId="25C164FE" w:rsidR="00922549" w:rsidRPr="00FC44EB" w:rsidRDefault="004E4D1B" w:rsidP="000432AC">
            <w:pPr>
              <w:pStyle w:val="ListParagraph"/>
              <w:numPr>
                <w:ilvl w:val="0"/>
                <w:numId w:val="7"/>
              </w:numPr>
              <w:ind w:left="250" w:hanging="250"/>
              <w:rPr>
                <w:sz w:val="14"/>
                <w:szCs w:val="14"/>
              </w:rPr>
            </w:pPr>
            <w:r>
              <w:rPr>
                <w:sz w:val="14"/>
                <w:szCs w:val="14"/>
              </w:rPr>
              <w:t xml:space="preserve">Health </w:t>
            </w:r>
            <w:r w:rsidR="00643D6D">
              <w:rPr>
                <w:sz w:val="14"/>
                <w:szCs w:val="14"/>
              </w:rPr>
              <w:t>Surveys</w:t>
            </w:r>
            <w:r>
              <w:rPr>
                <w:sz w:val="14"/>
                <w:szCs w:val="14"/>
              </w:rPr>
              <w:t xml:space="preserve"> and Health Checks </w:t>
            </w:r>
          </w:p>
        </w:tc>
        <w:tc>
          <w:tcPr>
            <w:tcW w:w="974" w:type="pct"/>
          </w:tcPr>
          <w:p w14:paraId="5D3A555D" w14:textId="763A5623" w:rsidR="00922549" w:rsidRDefault="00922549" w:rsidP="00FC4E5A">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The intended use is to screen </w:t>
            </w:r>
            <w:r w:rsidR="002C58D9">
              <w:rPr>
                <w:sz w:val="14"/>
                <w:szCs w:val="14"/>
              </w:rPr>
              <w:t xml:space="preserve">persons </w:t>
            </w:r>
            <w:r w:rsidR="00FC4E5A">
              <w:rPr>
                <w:sz w:val="14"/>
                <w:szCs w:val="14"/>
              </w:rPr>
              <w:t>for signs of SARS-CoV-2 infection with</w:t>
            </w:r>
            <w:r w:rsidR="002C58D9" w:rsidRPr="00FC4E5A">
              <w:rPr>
                <w:sz w:val="14"/>
                <w:szCs w:val="14"/>
              </w:rPr>
              <w:t xml:space="preserve">in or prior to visiting a </w:t>
            </w:r>
            <w:r w:rsidR="00FC4E5A">
              <w:rPr>
                <w:sz w:val="14"/>
                <w:szCs w:val="14"/>
              </w:rPr>
              <w:t xml:space="preserve">site </w:t>
            </w:r>
            <w:r w:rsidR="002C58D9" w:rsidRPr="00FC4E5A">
              <w:rPr>
                <w:sz w:val="14"/>
                <w:szCs w:val="14"/>
              </w:rPr>
              <w:t xml:space="preserve">of interest </w:t>
            </w:r>
          </w:p>
          <w:p w14:paraId="46CD3A37" w14:textId="2963A490" w:rsidR="00FC4E5A" w:rsidRPr="00FC4E5A" w:rsidRDefault="00FC4E5A" w:rsidP="00FC4E5A">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Some or all of the surveys or checks could be conducted at home prior to leaving for work, school or other occupied environments.</w:t>
            </w:r>
          </w:p>
          <w:p w14:paraId="1713853C" w14:textId="77777777" w:rsidR="002C58D9" w:rsidRDefault="002C58D9"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The information can be used to determine the frequency of testing persons based on the risk of a recent infection</w:t>
            </w:r>
          </w:p>
          <w:p w14:paraId="2284E9C7" w14:textId="77777777" w:rsidR="002C58D9" w:rsidRDefault="002C58D9" w:rsidP="00F57E58">
            <w:pPr>
              <w:pStyle w:val="ListParagraph"/>
              <w:numPr>
                <w:ilvl w:val="0"/>
                <w:numId w:val="3"/>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Settings can include workplaces, residential sites, healthcare facilities, schools and others</w:t>
            </w:r>
          </w:p>
          <w:p w14:paraId="135BF1CB" w14:textId="0EE3E0F1" w:rsidR="002C58D9" w:rsidRPr="00FC44EB" w:rsidRDefault="002C58D9" w:rsidP="00FC4E5A">
            <w:pPr>
              <w:pStyle w:val="ListParagraph"/>
              <w:ind w:left="162"/>
              <w:cnfStyle w:val="000000000000" w:firstRow="0" w:lastRow="0" w:firstColumn="0" w:lastColumn="0" w:oddVBand="0" w:evenVBand="0" w:oddHBand="0" w:evenHBand="0" w:firstRowFirstColumn="0" w:firstRowLastColumn="0" w:lastRowFirstColumn="0" w:lastRowLastColumn="0"/>
              <w:rPr>
                <w:sz w:val="14"/>
                <w:szCs w:val="14"/>
              </w:rPr>
            </w:pPr>
          </w:p>
        </w:tc>
        <w:tc>
          <w:tcPr>
            <w:tcW w:w="974" w:type="pct"/>
          </w:tcPr>
          <w:p w14:paraId="16538F2C" w14:textId="1C2C0ED6" w:rsidR="00922549" w:rsidRDefault="00922549"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Devices for health checks, such as a non-contact thermometer</w:t>
            </w:r>
            <w:r w:rsidR="002C58D9">
              <w:rPr>
                <w:sz w:val="14"/>
                <w:szCs w:val="14"/>
              </w:rPr>
              <w:t>, oximeters, “scratch and sniff” tests (</w:t>
            </w:r>
            <w:r w:rsidR="00FC4E5A">
              <w:rPr>
                <w:sz w:val="14"/>
                <w:szCs w:val="14"/>
              </w:rPr>
              <w:t xml:space="preserve">for </w:t>
            </w:r>
            <w:r w:rsidR="002C58D9">
              <w:rPr>
                <w:sz w:val="14"/>
                <w:szCs w:val="14"/>
              </w:rPr>
              <w:t>anosmia)</w:t>
            </w:r>
            <w:r w:rsidR="004436E8">
              <w:rPr>
                <w:sz w:val="14"/>
                <w:szCs w:val="14"/>
              </w:rPr>
              <w:t>, pulse rate or others</w:t>
            </w:r>
          </w:p>
          <w:p w14:paraId="303F3A1A" w14:textId="2A8C546B" w:rsidR="00922549" w:rsidRDefault="00922549"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Devices for safely </w:t>
            </w:r>
            <w:r w:rsidR="004436E8">
              <w:rPr>
                <w:sz w:val="14"/>
                <w:szCs w:val="14"/>
              </w:rPr>
              <w:t xml:space="preserve">and </w:t>
            </w:r>
            <w:r w:rsidR="00EF4222">
              <w:rPr>
                <w:sz w:val="14"/>
                <w:szCs w:val="14"/>
              </w:rPr>
              <w:t>remotely completing</w:t>
            </w:r>
            <w:r>
              <w:rPr>
                <w:sz w:val="14"/>
                <w:szCs w:val="14"/>
              </w:rPr>
              <w:t xml:space="preserve"> health </w:t>
            </w:r>
            <w:r w:rsidR="004436E8">
              <w:rPr>
                <w:sz w:val="14"/>
                <w:szCs w:val="14"/>
              </w:rPr>
              <w:t>surveys</w:t>
            </w:r>
            <w:r>
              <w:rPr>
                <w:sz w:val="14"/>
                <w:szCs w:val="14"/>
              </w:rPr>
              <w:t xml:space="preserve"> (e.g., smart phone apps, secure website)</w:t>
            </w:r>
          </w:p>
          <w:p w14:paraId="31B50380" w14:textId="03DCB191" w:rsidR="004436E8" w:rsidRDefault="00F61FA0"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Questionnaires designed to assess risk for SARS-CoV-2 infection </w:t>
            </w:r>
            <w:r w:rsidR="004436E8">
              <w:rPr>
                <w:sz w:val="14"/>
                <w:szCs w:val="14"/>
              </w:rPr>
              <w:t xml:space="preserve">have been </w:t>
            </w:r>
            <w:r>
              <w:rPr>
                <w:sz w:val="14"/>
                <w:szCs w:val="14"/>
              </w:rPr>
              <w:t>developed, tested in practice and implemented.</w:t>
            </w:r>
          </w:p>
          <w:p w14:paraId="4957B151" w14:textId="4654790F" w:rsidR="00675629" w:rsidRPr="00FC44EB" w:rsidRDefault="004436E8"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Question sets have been devised by the CDC and others. </w:t>
            </w:r>
          </w:p>
        </w:tc>
        <w:tc>
          <w:tcPr>
            <w:tcW w:w="812" w:type="pct"/>
          </w:tcPr>
          <w:p w14:paraId="443A4F96" w14:textId="5F4C1FE1" w:rsidR="00922549" w:rsidRPr="00FC44EB" w:rsidRDefault="00922549" w:rsidP="00F57E58">
            <w:pPr>
              <w:pStyle w:val="ListParagraph"/>
              <w:numPr>
                <w:ilvl w:val="0"/>
                <w:numId w:val="4"/>
              </w:numPr>
              <w:ind w:left="162" w:hanging="180"/>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None required</w:t>
            </w:r>
            <w:r w:rsidR="00F61FA0">
              <w:rPr>
                <w:sz w:val="14"/>
                <w:szCs w:val="14"/>
              </w:rPr>
              <w:t xml:space="preserve"> or desired</w:t>
            </w:r>
          </w:p>
        </w:tc>
        <w:tc>
          <w:tcPr>
            <w:tcW w:w="1754" w:type="pct"/>
          </w:tcPr>
          <w:p w14:paraId="0E98D600" w14:textId="5C933BAE" w:rsidR="00922549" w:rsidRDefault="004436E8" w:rsidP="00F57E58">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Prior to COVID-19, s</w:t>
            </w:r>
            <w:r w:rsidR="00922549">
              <w:rPr>
                <w:sz w:val="14"/>
                <w:szCs w:val="14"/>
              </w:rPr>
              <w:t xml:space="preserve">urveys have been shown to be effective tools in a variety of settings </w:t>
            </w:r>
            <w:r>
              <w:rPr>
                <w:sz w:val="14"/>
                <w:szCs w:val="14"/>
              </w:rPr>
              <w:t xml:space="preserve">and disease states </w:t>
            </w:r>
            <w:r w:rsidR="00922549">
              <w:rPr>
                <w:sz w:val="14"/>
                <w:szCs w:val="14"/>
              </w:rPr>
              <w:t xml:space="preserve">(e.g., for </w:t>
            </w:r>
            <w:r>
              <w:rPr>
                <w:sz w:val="14"/>
                <w:szCs w:val="14"/>
              </w:rPr>
              <w:t xml:space="preserve">type 2 </w:t>
            </w:r>
            <w:r w:rsidR="00922549">
              <w:rPr>
                <w:sz w:val="14"/>
                <w:szCs w:val="14"/>
              </w:rPr>
              <w:t xml:space="preserve">diabetes, multiple myeloma and volunteer blood donations).  </w:t>
            </w:r>
          </w:p>
          <w:p w14:paraId="6BD05333" w14:textId="7BA80ED8" w:rsidR="00922549" w:rsidRDefault="00922549" w:rsidP="00F57E58">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xml:space="preserve">To be most effective, </w:t>
            </w:r>
            <w:r w:rsidR="00EF4222">
              <w:rPr>
                <w:sz w:val="14"/>
                <w:szCs w:val="14"/>
              </w:rPr>
              <w:t>health surveys</w:t>
            </w:r>
            <w:r w:rsidR="00F61FA0">
              <w:rPr>
                <w:sz w:val="14"/>
                <w:szCs w:val="14"/>
              </w:rPr>
              <w:t xml:space="preserve"> </w:t>
            </w:r>
            <w:r w:rsidR="004436E8">
              <w:rPr>
                <w:sz w:val="14"/>
                <w:szCs w:val="14"/>
              </w:rPr>
              <w:t xml:space="preserve">and checks </w:t>
            </w:r>
            <w:r>
              <w:rPr>
                <w:sz w:val="14"/>
                <w:szCs w:val="14"/>
              </w:rPr>
              <w:t xml:space="preserve">should be highly sensitive so that </w:t>
            </w:r>
            <w:r w:rsidR="004436E8">
              <w:rPr>
                <w:sz w:val="14"/>
                <w:szCs w:val="14"/>
              </w:rPr>
              <w:t>few</w:t>
            </w:r>
            <w:r>
              <w:rPr>
                <w:sz w:val="14"/>
                <w:szCs w:val="14"/>
              </w:rPr>
              <w:t xml:space="preserve"> potential cases are missed, even at the risk of poor specificity.  </w:t>
            </w:r>
            <w:r w:rsidR="00F61FA0">
              <w:rPr>
                <w:sz w:val="14"/>
                <w:szCs w:val="14"/>
              </w:rPr>
              <w:t xml:space="preserve">For instance, an American Diabetes Association questionnaire for assessing the likelihood that a person has type 2 diabetes is approximately 97% sensitive, but </w:t>
            </w:r>
            <w:r w:rsidR="00353A51">
              <w:rPr>
                <w:sz w:val="14"/>
                <w:szCs w:val="14"/>
              </w:rPr>
              <w:t xml:space="preserve">just </w:t>
            </w:r>
            <w:r w:rsidR="00F61FA0">
              <w:rPr>
                <w:sz w:val="14"/>
                <w:szCs w:val="14"/>
              </w:rPr>
              <w:t xml:space="preserve">40% specific. A previous questionnaire with lower sensitivity and higher specificity was abandoned in favor of the improved sensitivity. </w:t>
            </w:r>
          </w:p>
          <w:p w14:paraId="74C35727" w14:textId="5FF97A50" w:rsidR="00132B13" w:rsidRDefault="00922549" w:rsidP="00132B13">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Health surveys may be administered frequently, perhaps daily for all employees</w:t>
            </w:r>
            <w:r w:rsidR="004436E8">
              <w:rPr>
                <w:sz w:val="14"/>
                <w:szCs w:val="14"/>
              </w:rPr>
              <w:t xml:space="preserve"> or students.</w:t>
            </w:r>
            <w:r w:rsidR="00353A51">
              <w:rPr>
                <w:sz w:val="14"/>
                <w:szCs w:val="14"/>
              </w:rPr>
              <w:t xml:space="preserve"> </w:t>
            </w:r>
            <w:r w:rsidR="004436E8">
              <w:rPr>
                <w:sz w:val="14"/>
                <w:szCs w:val="14"/>
              </w:rPr>
              <w:t xml:space="preserve">Surveys can </w:t>
            </w:r>
            <w:r>
              <w:rPr>
                <w:sz w:val="14"/>
                <w:szCs w:val="14"/>
              </w:rPr>
              <w:t>includ</w:t>
            </w:r>
            <w:r w:rsidR="004436E8">
              <w:rPr>
                <w:sz w:val="14"/>
                <w:szCs w:val="14"/>
              </w:rPr>
              <w:t>e</w:t>
            </w:r>
            <w:r>
              <w:rPr>
                <w:sz w:val="14"/>
                <w:szCs w:val="14"/>
              </w:rPr>
              <w:t xml:space="preserve"> questions such as</w:t>
            </w:r>
            <w:r w:rsidR="004436E8">
              <w:rPr>
                <w:sz w:val="14"/>
                <w:szCs w:val="14"/>
              </w:rPr>
              <w:t>:</w:t>
            </w:r>
            <w:r>
              <w:rPr>
                <w:sz w:val="14"/>
                <w:szCs w:val="14"/>
              </w:rPr>
              <w:t xml:space="preserve"> how are you feeling today, </w:t>
            </w:r>
            <w:r w:rsidR="00132B13">
              <w:rPr>
                <w:sz w:val="14"/>
                <w:szCs w:val="14"/>
              </w:rPr>
              <w:t xml:space="preserve">are you currently experiencing </w:t>
            </w:r>
            <w:r>
              <w:rPr>
                <w:sz w:val="14"/>
                <w:szCs w:val="14"/>
              </w:rPr>
              <w:t>any of the following symptoms</w:t>
            </w:r>
            <w:r w:rsidR="00353A51">
              <w:rPr>
                <w:sz w:val="14"/>
                <w:szCs w:val="14"/>
              </w:rPr>
              <w:t>,</w:t>
            </w:r>
            <w:r>
              <w:rPr>
                <w:sz w:val="14"/>
                <w:szCs w:val="14"/>
              </w:rPr>
              <w:t xml:space="preserve"> </w:t>
            </w:r>
            <w:r w:rsidR="00132B13">
              <w:rPr>
                <w:sz w:val="14"/>
                <w:szCs w:val="14"/>
              </w:rPr>
              <w:t>have you been in contact during the last 14</w:t>
            </w:r>
            <w:r w:rsidR="00353A51">
              <w:rPr>
                <w:sz w:val="14"/>
                <w:szCs w:val="14"/>
              </w:rPr>
              <w:t xml:space="preserve"> </w:t>
            </w:r>
            <w:r w:rsidR="00132B13">
              <w:rPr>
                <w:sz w:val="14"/>
                <w:szCs w:val="14"/>
              </w:rPr>
              <w:t xml:space="preserve">days with anyone who has been diagnosed with SARS-CoV-2 virus infection, and other similar easy to complete questions. </w:t>
            </w:r>
            <w:r w:rsidR="00F61FA0">
              <w:rPr>
                <w:sz w:val="14"/>
                <w:szCs w:val="14"/>
              </w:rPr>
              <w:t>The answers c</w:t>
            </w:r>
            <w:r w:rsidR="00BC6D73">
              <w:rPr>
                <w:sz w:val="14"/>
                <w:szCs w:val="14"/>
              </w:rPr>
              <w:t>an</w:t>
            </w:r>
            <w:r w:rsidR="00F61FA0">
              <w:rPr>
                <w:sz w:val="14"/>
                <w:szCs w:val="14"/>
              </w:rPr>
              <w:t xml:space="preserve"> be used to determine the frequency of screening tests based on algorithms for pre-test probability of infection. These questionnaires can be studied in st</w:t>
            </w:r>
            <w:r w:rsidR="00BC6D73">
              <w:rPr>
                <w:sz w:val="14"/>
                <w:szCs w:val="14"/>
              </w:rPr>
              <w:t>andard</w:t>
            </w:r>
            <w:r w:rsidR="00F61FA0">
              <w:rPr>
                <w:sz w:val="14"/>
                <w:szCs w:val="14"/>
              </w:rPr>
              <w:t xml:space="preserve"> clinical trials with appropriate statistical designs (e.g., power, confidence </w:t>
            </w:r>
            <w:r w:rsidR="00BC6D73">
              <w:rPr>
                <w:sz w:val="14"/>
                <w:szCs w:val="14"/>
              </w:rPr>
              <w:t>levels</w:t>
            </w:r>
            <w:r w:rsidR="00F61FA0">
              <w:rPr>
                <w:sz w:val="14"/>
                <w:szCs w:val="14"/>
              </w:rPr>
              <w:t xml:space="preserve">). </w:t>
            </w:r>
          </w:p>
          <w:p w14:paraId="0C0BFB32" w14:textId="7EE51825" w:rsidR="00132B13" w:rsidRPr="00EF4222" w:rsidRDefault="00BC6D73" w:rsidP="00132B13">
            <w:pPr>
              <w:pStyle w:val="ListParagraph"/>
              <w:numPr>
                <w:ilvl w:val="0"/>
                <w:numId w:val="1"/>
              </w:numPr>
              <w:ind w:left="162" w:hanging="162"/>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W</w:t>
            </w:r>
            <w:r w:rsidR="00132B13">
              <w:rPr>
                <w:sz w:val="14"/>
                <w:szCs w:val="14"/>
              </w:rPr>
              <w:t xml:space="preserve">orkers’ rights regulations </w:t>
            </w:r>
            <w:r w:rsidR="00F61FA0">
              <w:rPr>
                <w:sz w:val="14"/>
                <w:szCs w:val="14"/>
              </w:rPr>
              <w:t xml:space="preserve">and privacy issues </w:t>
            </w:r>
            <w:r>
              <w:rPr>
                <w:sz w:val="14"/>
                <w:szCs w:val="14"/>
              </w:rPr>
              <w:t xml:space="preserve">should be considered </w:t>
            </w:r>
            <w:r w:rsidR="00132B13">
              <w:rPr>
                <w:sz w:val="14"/>
                <w:szCs w:val="14"/>
              </w:rPr>
              <w:t>when constructing health survey and health check programs</w:t>
            </w:r>
          </w:p>
        </w:tc>
      </w:tr>
      <w:tr w:rsidR="003D70C4" w:rsidRPr="00AD4071" w14:paraId="5D70034F" w14:textId="77777777" w:rsidTr="003D70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5" w:type="pct"/>
          </w:tcPr>
          <w:p w14:paraId="3AE43090" w14:textId="23AA8F80" w:rsidR="00381522" w:rsidRDefault="00381522" w:rsidP="000432AC">
            <w:pPr>
              <w:pStyle w:val="ListParagraph"/>
              <w:numPr>
                <w:ilvl w:val="0"/>
                <w:numId w:val="7"/>
              </w:numPr>
              <w:ind w:left="250" w:hanging="250"/>
              <w:rPr>
                <w:sz w:val="14"/>
                <w:szCs w:val="14"/>
              </w:rPr>
            </w:pPr>
            <w:r>
              <w:rPr>
                <w:sz w:val="14"/>
                <w:szCs w:val="14"/>
              </w:rPr>
              <w:lastRenderedPageBreak/>
              <w:t>Screen</w:t>
            </w:r>
            <w:r w:rsidR="00466872">
              <w:rPr>
                <w:sz w:val="14"/>
                <w:szCs w:val="14"/>
              </w:rPr>
              <w:t xml:space="preserve">ing of non-symptomatic </w:t>
            </w:r>
            <w:r w:rsidR="00DD2464">
              <w:rPr>
                <w:sz w:val="14"/>
                <w:szCs w:val="14"/>
              </w:rPr>
              <w:t>persons</w:t>
            </w:r>
          </w:p>
        </w:tc>
        <w:tc>
          <w:tcPr>
            <w:tcW w:w="974" w:type="pct"/>
          </w:tcPr>
          <w:p w14:paraId="06DA36DC" w14:textId="439BC843" w:rsidR="00381522" w:rsidRPr="00EF4222" w:rsidRDefault="00381522" w:rsidP="00EF4222">
            <w:pPr>
              <w:cnfStyle w:val="000000100000" w:firstRow="0" w:lastRow="0" w:firstColumn="0" w:lastColumn="0" w:oddVBand="0" w:evenVBand="0" w:oddHBand="1" w:evenHBand="0" w:firstRowFirstColumn="0" w:firstRowLastColumn="0" w:lastRowFirstColumn="0" w:lastRowLastColumn="0"/>
              <w:rPr>
                <w:sz w:val="2"/>
                <w:szCs w:val="2"/>
              </w:rPr>
            </w:pPr>
            <w:r w:rsidRPr="00EF4222">
              <w:rPr>
                <w:sz w:val="13"/>
                <w:szCs w:val="13"/>
              </w:rPr>
              <w:t xml:space="preserve">There are two intended uses: </w:t>
            </w:r>
          </w:p>
          <w:p w14:paraId="736682AE" w14:textId="49F73B84" w:rsidR="00D20578" w:rsidRPr="00EF4222" w:rsidRDefault="00381522" w:rsidP="00F57E58">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EF4222">
              <w:rPr>
                <w:sz w:val="13"/>
                <w:szCs w:val="13"/>
              </w:rPr>
              <w:t xml:space="preserve">1) determine if a </w:t>
            </w:r>
            <w:r w:rsidR="00DD2464">
              <w:rPr>
                <w:sz w:val="13"/>
                <w:szCs w:val="13"/>
              </w:rPr>
              <w:t xml:space="preserve">non-symptomatic </w:t>
            </w:r>
            <w:r w:rsidRPr="00EF4222">
              <w:rPr>
                <w:sz w:val="13"/>
                <w:szCs w:val="13"/>
              </w:rPr>
              <w:t xml:space="preserve">individual </w:t>
            </w:r>
            <w:r w:rsidR="00DD2464">
              <w:rPr>
                <w:sz w:val="14"/>
                <w:szCs w:val="14"/>
              </w:rPr>
              <w:t xml:space="preserve">(asymptomatic or pre-symptomatic) </w:t>
            </w:r>
            <w:r w:rsidRPr="00EF4222">
              <w:rPr>
                <w:sz w:val="13"/>
                <w:szCs w:val="13"/>
              </w:rPr>
              <w:t xml:space="preserve">has a current SARS-CoV-2 infection </w:t>
            </w:r>
          </w:p>
          <w:p w14:paraId="5F27CE44" w14:textId="4ED4533F" w:rsidR="00381522" w:rsidRDefault="00381522" w:rsidP="00F57E58">
            <w:pPr>
              <w:pStyle w:val="ListParagraph"/>
              <w:numPr>
                <w:ilvl w:val="0"/>
                <w:numId w:val="3"/>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EF4222">
              <w:rPr>
                <w:sz w:val="13"/>
                <w:szCs w:val="13"/>
              </w:rPr>
              <w:t xml:space="preserve">2) determine if an individual has been previously exposed and is likely to have </w:t>
            </w:r>
            <w:r w:rsidR="00DD2464">
              <w:rPr>
                <w:sz w:val="13"/>
                <w:szCs w:val="13"/>
              </w:rPr>
              <w:t xml:space="preserve">temporary </w:t>
            </w:r>
            <w:r w:rsidRPr="00EF4222">
              <w:rPr>
                <w:sz w:val="13"/>
                <w:szCs w:val="13"/>
              </w:rPr>
              <w:t>immunity</w:t>
            </w:r>
            <w:r w:rsidR="00DD2464">
              <w:rPr>
                <w:sz w:val="13"/>
                <w:szCs w:val="13"/>
              </w:rPr>
              <w:t xml:space="preserve"> to SARS-CoV-2 infection</w:t>
            </w:r>
            <w:r w:rsidRPr="00EF4222">
              <w:rPr>
                <w:sz w:val="13"/>
                <w:szCs w:val="13"/>
              </w:rPr>
              <w:t>.</w:t>
            </w:r>
          </w:p>
        </w:tc>
        <w:tc>
          <w:tcPr>
            <w:tcW w:w="974" w:type="pct"/>
          </w:tcPr>
          <w:p w14:paraId="4F9A537D" w14:textId="32EC44F2" w:rsidR="00D20578" w:rsidRDefault="00D20578" w:rsidP="00D20578">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For intended use 1, </w:t>
            </w:r>
            <w:r w:rsidRPr="00FC44EB">
              <w:rPr>
                <w:sz w:val="14"/>
                <w:szCs w:val="14"/>
              </w:rPr>
              <w:t xml:space="preserve">proper collection (e.g., </w:t>
            </w:r>
            <w:r w:rsidR="00DD2464">
              <w:rPr>
                <w:sz w:val="14"/>
                <w:szCs w:val="14"/>
              </w:rPr>
              <w:t xml:space="preserve">nasal </w:t>
            </w:r>
            <w:r w:rsidRPr="00FC44EB">
              <w:rPr>
                <w:sz w:val="14"/>
                <w:szCs w:val="14"/>
              </w:rPr>
              <w:t>swab</w:t>
            </w:r>
            <w:r w:rsidR="00DD2464">
              <w:rPr>
                <w:sz w:val="14"/>
                <w:szCs w:val="14"/>
              </w:rPr>
              <w:t>, saliva</w:t>
            </w:r>
            <w:r w:rsidRPr="00FC44EB">
              <w:rPr>
                <w:sz w:val="14"/>
                <w:szCs w:val="14"/>
              </w:rPr>
              <w:t>)</w:t>
            </w:r>
            <w:r w:rsidR="00DD2464">
              <w:rPr>
                <w:sz w:val="14"/>
                <w:szCs w:val="14"/>
              </w:rPr>
              <w:t>, sample processing (e.g., deactivation, sealing of collection device)</w:t>
            </w:r>
            <w:r w:rsidRPr="00FC44EB">
              <w:rPr>
                <w:sz w:val="14"/>
                <w:szCs w:val="14"/>
              </w:rPr>
              <w:t xml:space="preserve"> and</w:t>
            </w:r>
            <w:r w:rsidR="00DD2464">
              <w:rPr>
                <w:sz w:val="14"/>
                <w:szCs w:val="14"/>
              </w:rPr>
              <w:t>/or</w:t>
            </w:r>
            <w:r w:rsidRPr="00FC44EB">
              <w:rPr>
                <w:sz w:val="14"/>
                <w:szCs w:val="14"/>
              </w:rPr>
              <w:t xml:space="preserve"> sample introduction to testing device (e.g., swab introduction port) will be necessary</w:t>
            </w:r>
            <w:r w:rsidR="000D5DFB">
              <w:rPr>
                <w:sz w:val="14"/>
                <w:szCs w:val="14"/>
              </w:rPr>
              <w:t xml:space="preserve">. </w:t>
            </w:r>
          </w:p>
          <w:p w14:paraId="36E57136" w14:textId="62F79CE1" w:rsidR="000D5DFB" w:rsidRDefault="00D20578" w:rsidP="000D5DFB">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For intended use 2, finger prick blood</w:t>
            </w:r>
            <w:r w:rsidR="00DD2464">
              <w:rPr>
                <w:sz w:val="14"/>
                <w:szCs w:val="14"/>
              </w:rPr>
              <w:t xml:space="preserve"> or potentiall</w:t>
            </w:r>
            <w:r w:rsidR="000D5DFB">
              <w:rPr>
                <w:sz w:val="14"/>
                <w:szCs w:val="14"/>
              </w:rPr>
              <w:t xml:space="preserve">y oral </w:t>
            </w:r>
            <w:r w:rsidR="00EF4222">
              <w:rPr>
                <w:sz w:val="14"/>
                <w:szCs w:val="14"/>
              </w:rPr>
              <w:t>fluid is</w:t>
            </w:r>
            <w:r>
              <w:rPr>
                <w:sz w:val="14"/>
                <w:szCs w:val="14"/>
              </w:rPr>
              <w:t xml:space="preserve"> required with the test</w:t>
            </w:r>
            <w:r w:rsidR="006138DA">
              <w:rPr>
                <w:sz w:val="14"/>
                <w:szCs w:val="14"/>
              </w:rPr>
              <w:t xml:space="preserve"> and will dictate test technology selection</w:t>
            </w:r>
            <w:r w:rsidR="000D5DFB">
              <w:rPr>
                <w:sz w:val="14"/>
                <w:szCs w:val="14"/>
              </w:rPr>
              <w:t>.</w:t>
            </w:r>
          </w:p>
          <w:p w14:paraId="1BDBBC13" w14:textId="77777777" w:rsidR="00381522" w:rsidRDefault="000D5DFB" w:rsidP="000D5DFB">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sidRPr="00EF4222">
              <w:rPr>
                <w:sz w:val="14"/>
                <w:szCs w:val="14"/>
              </w:rPr>
              <w:t>The likelihood of immunity could require IgG titer determination</w:t>
            </w:r>
          </w:p>
          <w:p w14:paraId="1520EB43" w14:textId="59F0F08C" w:rsidR="000D5DFB" w:rsidRPr="00EF4222" w:rsidRDefault="000D5DFB" w:rsidP="000D5DFB">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It is possible that in order to assess the immunity of the person tested that multiple epitopes of the viral coat antigens will be required in the serology tests if they can be correlated with SARS-CoV-2 </w:t>
            </w:r>
            <w:r w:rsidR="00353A51">
              <w:rPr>
                <w:sz w:val="14"/>
                <w:szCs w:val="14"/>
              </w:rPr>
              <w:t xml:space="preserve">virus </w:t>
            </w:r>
            <w:r>
              <w:rPr>
                <w:sz w:val="14"/>
                <w:szCs w:val="14"/>
              </w:rPr>
              <w:t xml:space="preserve">neutralization </w:t>
            </w:r>
            <w:r w:rsidRPr="00EF4222">
              <w:rPr>
                <w:i/>
                <w:iCs/>
                <w:sz w:val="14"/>
                <w:szCs w:val="14"/>
              </w:rPr>
              <w:t>in vitro</w:t>
            </w:r>
            <w:r>
              <w:rPr>
                <w:sz w:val="14"/>
                <w:szCs w:val="14"/>
              </w:rPr>
              <w:t xml:space="preserve"> culture assays</w:t>
            </w:r>
          </w:p>
        </w:tc>
        <w:tc>
          <w:tcPr>
            <w:tcW w:w="812" w:type="pct"/>
          </w:tcPr>
          <w:p w14:paraId="116B8758" w14:textId="7C1CA833" w:rsidR="00D20578" w:rsidRDefault="006138DA" w:rsidP="000432AC">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For intended use 1, t</w:t>
            </w:r>
            <w:r w:rsidR="00D20578" w:rsidRPr="00EF4222">
              <w:rPr>
                <w:sz w:val="14"/>
                <w:szCs w:val="14"/>
              </w:rPr>
              <w:t xml:space="preserve">he test </w:t>
            </w:r>
            <w:r>
              <w:rPr>
                <w:sz w:val="14"/>
                <w:szCs w:val="14"/>
              </w:rPr>
              <w:t xml:space="preserve">is likely to be for RNA or antigen detection and </w:t>
            </w:r>
            <w:r w:rsidR="00D20578" w:rsidRPr="00EF4222">
              <w:rPr>
                <w:sz w:val="14"/>
                <w:szCs w:val="14"/>
              </w:rPr>
              <w:t>must be developed to work with samples that are conveniently collected, such as nasal swabs, mid-turbinate swabs</w:t>
            </w:r>
            <w:r w:rsidR="00E4769C">
              <w:rPr>
                <w:sz w:val="14"/>
                <w:szCs w:val="14"/>
              </w:rPr>
              <w:t xml:space="preserve"> or saliva</w:t>
            </w:r>
            <w:r w:rsidR="00D20578" w:rsidRPr="00EF4222">
              <w:rPr>
                <w:sz w:val="14"/>
                <w:szCs w:val="14"/>
              </w:rPr>
              <w:t>.</w:t>
            </w:r>
            <w:r>
              <w:rPr>
                <w:sz w:val="14"/>
                <w:szCs w:val="14"/>
              </w:rPr>
              <w:t xml:space="preserve"> Nasopharyngeal swabs are unlikely to be useful. </w:t>
            </w:r>
          </w:p>
          <w:p w14:paraId="566C587E" w14:textId="14DD0230" w:rsidR="000D5DFB" w:rsidRDefault="006138DA" w:rsidP="000432AC">
            <w:pPr>
              <w:pStyle w:val="ListParagraph"/>
              <w:numPr>
                <w:ilvl w:val="0"/>
                <w:numId w:val="4"/>
              </w:numPr>
              <w:ind w:left="162" w:hanging="180"/>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For intended use 2, IgG is the most likely target. Finger prick blood is the </w:t>
            </w:r>
            <w:r w:rsidR="000D5DFB">
              <w:rPr>
                <w:sz w:val="14"/>
                <w:szCs w:val="14"/>
              </w:rPr>
              <w:t>preferred</w:t>
            </w:r>
            <w:r>
              <w:rPr>
                <w:sz w:val="14"/>
                <w:szCs w:val="14"/>
              </w:rPr>
              <w:t xml:space="preserve"> sample </w:t>
            </w:r>
            <w:r w:rsidR="000D5DFB">
              <w:rPr>
                <w:sz w:val="14"/>
                <w:szCs w:val="14"/>
              </w:rPr>
              <w:t xml:space="preserve">since the likelihood of detecting IgG is higher than in oral fluid. </w:t>
            </w:r>
          </w:p>
          <w:p w14:paraId="2AEE13AD" w14:textId="0BC3A082" w:rsidR="00381522" w:rsidRPr="00EF4222" w:rsidRDefault="00381522" w:rsidP="00EF4222">
            <w:pPr>
              <w:ind w:left="360"/>
              <w:cnfStyle w:val="000000100000" w:firstRow="0" w:lastRow="0" w:firstColumn="0" w:lastColumn="0" w:oddVBand="0" w:evenVBand="0" w:oddHBand="1" w:evenHBand="0" w:firstRowFirstColumn="0" w:firstRowLastColumn="0" w:lastRowFirstColumn="0" w:lastRowLastColumn="0"/>
              <w:rPr>
                <w:sz w:val="14"/>
                <w:szCs w:val="14"/>
              </w:rPr>
            </w:pPr>
          </w:p>
        </w:tc>
        <w:tc>
          <w:tcPr>
            <w:tcW w:w="1754" w:type="pct"/>
          </w:tcPr>
          <w:p w14:paraId="02F2BBA9" w14:textId="60A71A23" w:rsidR="00E4769C" w:rsidRPr="00E4769C" w:rsidRDefault="00E4769C" w:rsidP="00E4769C">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E4769C">
              <w:rPr>
                <w:sz w:val="14"/>
                <w:szCs w:val="14"/>
              </w:rPr>
              <w:t xml:space="preserve">A key component of assessing the risk of returning to work </w:t>
            </w:r>
            <w:r w:rsidR="000D5DFB">
              <w:rPr>
                <w:sz w:val="14"/>
                <w:szCs w:val="14"/>
              </w:rPr>
              <w:t xml:space="preserve">or school </w:t>
            </w:r>
            <w:r w:rsidRPr="00E4769C">
              <w:rPr>
                <w:sz w:val="14"/>
                <w:szCs w:val="14"/>
              </w:rPr>
              <w:t xml:space="preserve">is testing non-symptomatic </w:t>
            </w:r>
            <w:r w:rsidR="000D5DFB">
              <w:rPr>
                <w:sz w:val="14"/>
                <w:szCs w:val="14"/>
              </w:rPr>
              <w:t>individuals</w:t>
            </w:r>
            <w:r w:rsidRPr="00E4769C">
              <w:rPr>
                <w:sz w:val="14"/>
                <w:szCs w:val="14"/>
              </w:rPr>
              <w:t xml:space="preserve"> to isolate </w:t>
            </w:r>
            <w:r w:rsidR="00D10660">
              <w:rPr>
                <w:sz w:val="14"/>
                <w:szCs w:val="14"/>
              </w:rPr>
              <w:t xml:space="preserve">persons </w:t>
            </w:r>
            <w:r w:rsidRPr="00E4769C">
              <w:rPr>
                <w:sz w:val="14"/>
                <w:szCs w:val="14"/>
              </w:rPr>
              <w:t xml:space="preserve">who </w:t>
            </w:r>
            <w:r w:rsidR="00D10660">
              <w:rPr>
                <w:sz w:val="14"/>
                <w:szCs w:val="14"/>
              </w:rPr>
              <w:t xml:space="preserve">are </w:t>
            </w:r>
            <w:r w:rsidRPr="00E4769C">
              <w:rPr>
                <w:sz w:val="14"/>
                <w:szCs w:val="14"/>
              </w:rPr>
              <w:t>infect</w:t>
            </w:r>
            <w:r w:rsidR="000D5DFB">
              <w:rPr>
                <w:sz w:val="14"/>
                <w:szCs w:val="14"/>
              </w:rPr>
              <w:t>ed</w:t>
            </w:r>
            <w:r w:rsidRPr="00E4769C">
              <w:rPr>
                <w:sz w:val="14"/>
                <w:szCs w:val="14"/>
              </w:rPr>
              <w:t>, don’t know it and are capable of transmission to others</w:t>
            </w:r>
            <w:r w:rsidR="00D10660">
              <w:rPr>
                <w:sz w:val="14"/>
                <w:szCs w:val="14"/>
              </w:rPr>
              <w:t xml:space="preserve">. It will also permit the positive person to seek appropriate care.  </w:t>
            </w:r>
          </w:p>
          <w:p w14:paraId="25C88639" w14:textId="28A496FB" w:rsidR="00E4769C" w:rsidRPr="00E4769C" w:rsidRDefault="00D10660" w:rsidP="00E4769C">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R</w:t>
            </w:r>
            <w:r w:rsidR="00E4769C" w:rsidRPr="00E4769C">
              <w:rPr>
                <w:sz w:val="14"/>
                <w:szCs w:val="14"/>
              </w:rPr>
              <w:t xml:space="preserve">isk of infection is related </w:t>
            </w:r>
            <w:r w:rsidR="00EF4222" w:rsidRPr="00E4769C">
              <w:rPr>
                <w:sz w:val="14"/>
                <w:szCs w:val="14"/>
              </w:rPr>
              <w:t>to</w:t>
            </w:r>
            <w:r w:rsidR="00E4769C" w:rsidRPr="00E4769C">
              <w:rPr>
                <w:sz w:val="14"/>
                <w:szCs w:val="14"/>
              </w:rPr>
              <w:t xml:space="preserve"> 1</w:t>
            </w:r>
            <w:r>
              <w:rPr>
                <w:sz w:val="14"/>
                <w:szCs w:val="14"/>
              </w:rPr>
              <w:t>)</w:t>
            </w:r>
            <w:r w:rsidR="00E4769C" w:rsidRPr="00E4769C">
              <w:rPr>
                <w:sz w:val="14"/>
                <w:szCs w:val="14"/>
              </w:rPr>
              <w:t xml:space="preserve"> living situation, 2) social interactions, 3) general health (e.g., </w:t>
            </w:r>
            <w:r w:rsidR="000432AC">
              <w:rPr>
                <w:sz w:val="14"/>
                <w:szCs w:val="14"/>
              </w:rPr>
              <w:t>pre-</w:t>
            </w:r>
            <w:r w:rsidR="00E4769C" w:rsidRPr="00E4769C">
              <w:rPr>
                <w:sz w:val="14"/>
                <w:szCs w:val="14"/>
              </w:rPr>
              <w:t xml:space="preserve">existing conditions), 4) work </w:t>
            </w:r>
            <w:r>
              <w:rPr>
                <w:sz w:val="14"/>
                <w:szCs w:val="14"/>
              </w:rPr>
              <w:t xml:space="preserve">or school </w:t>
            </w:r>
            <w:r w:rsidR="00E4769C" w:rsidRPr="00E4769C">
              <w:rPr>
                <w:sz w:val="14"/>
                <w:szCs w:val="14"/>
              </w:rPr>
              <w:t>environment</w:t>
            </w:r>
            <w:r>
              <w:rPr>
                <w:sz w:val="14"/>
                <w:szCs w:val="14"/>
              </w:rPr>
              <w:t xml:space="preserve"> </w:t>
            </w:r>
            <w:r w:rsidR="00E4769C" w:rsidRPr="00E4769C">
              <w:rPr>
                <w:sz w:val="14"/>
                <w:szCs w:val="14"/>
              </w:rPr>
              <w:t xml:space="preserve">and 5) the general </w:t>
            </w:r>
            <w:r w:rsidR="00353A51">
              <w:rPr>
                <w:sz w:val="14"/>
                <w:szCs w:val="14"/>
              </w:rPr>
              <w:t xml:space="preserve">SARS-CoV-2 </w:t>
            </w:r>
            <w:r w:rsidR="00E4769C" w:rsidRPr="00E4769C">
              <w:rPr>
                <w:sz w:val="14"/>
                <w:szCs w:val="14"/>
              </w:rPr>
              <w:t>prevalence within the community in which the</w:t>
            </w:r>
            <w:r>
              <w:rPr>
                <w:sz w:val="14"/>
                <w:szCs w:val="14"/>
              </w:rPr>
              <w:t xml:space="preserve"> individual</w:t>
            </w:r>
            <w:r w:rsidR="00E4769C" w:rsidRPr="00E4769C">
              <w:rPr>
                <w:sz w:val="14"/>
                <w:szCs w:val="14"/>
              </w:rPr>
              <w:t xml:space="preserve"> liv</w:t>
            </w:r>
            <w:r>
              <w:rPr>
                <w:sz w:val="14"/>
                <w:szCs w:val="14"/>
              </w:rPr>
              <w:t>es</w:t>
            </w:r>
            <w:r w:rsidR="00E4769C" w:rsidRPr="00E4769C">
              <w:rPr>
                <w:sz w:val="14"/>
                <w:szCs w:val="14"/>
              </w:rPr>
              <w:t xml:space="preserve">. </w:t>
            </w:r>
          </w:p>
          <w:p w14:paraId="22FFD63C" w14:textId="3A0BD124" w:rsidR="00353A51" w:rsidRDefault="00E4769C" w:rsidP="00E4769C">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E4769C">
              <w:rPr>
                <w:sz w:val="14"/>
                <w:szCs w:val="14"/>
              </w:rPr>
              <w:t xml:space="preserve">This </w:t>
            </w:r>
            <w:r w:rsidR="000432AC">
              <w:rPr>
                <w:sz w:val="14"/>
                <w:szCs w:val="14"/>
              </w:rPr>
              <w:t xml:space="preserve">diversity of risk factors </w:t>
            </w:r>
            <w:r w:rsidRPr="00E4769C">
              <w:rPr>
                <w:sz w:val="14"/>
                <w:szCs w:val="14"/>
              </w:rPr>
              <w:t xml:space="preserve">results in a broad pre-test probability of infection across the </w:t>
            </w:r>
            <w:r w:rsidR="00353A51">
              <w:rPr>
                <w:sz w:val="14"/>
                <w:szCs w:val="14"/>
              </w:rPr>
              <w:t xml:space="preserve">population </w:t>
            </w:r>
            <w:r w:rsidRPr="00E4769C">
              <w:rPr>
                <w:sz w:val="14"/>
                <w:szCs w:val="14"/>
              </w:rPr>
              <w:t>ba</w:t>
            </w:r>
            <w:r w:rsidR="00353A51">
              <w:rPr>
                <w:sz w:val="14"/>
                <w:szCs w:val="14"/>
              </w:rPr>
              <w:t>se of interest.</w:t>
            </w:r>
            <w:r w:rsidRPr="00E4769C">
              <w:rPr>
                <w:sz w:val="14"/>
                <w:szCs w:val="14"/>
              </w:rPr>
              <w:t xml:space="preserve"> Testing protocols </w:t>
            </w:r>
            <w:r w:rsidR="00353A51">
              <w:rPr>
                <w:sz w:val="14"/>
                <w:szCs w:val="14"/>
              </w:rPr>
              <w:t xml:space="preserve">for employers or schools </w:t>
            </w:r>
            <w:r w:rsidRPr="00E4769C">
              <w:rPr>
                <w:sz w:val="14"/>
                <w:szCs w:val="14"/>
              </w:rPr>
              <w:t xml:space="preserve">will likely require frequent testing until a means of knowing who to test more often than others </w:t>
            </w:r>
            <w:proofErr w:type="gramStart"/>
            <w:r w:rsidRPr="00E4769C">
              <w:rPr>
                <w:sz w:val="14"/>
                <w:szCs w:val="14"/>
              </w:rPr>
              <w:t>is</w:t>
            </w:r>
            <w:proofErr w:type="gramEnd"/>
            <w:r w:rsidRPr="00E4769C">
              <w:rPr>
                <w:sz w:val="14"/>
                <w:szCs w:val="14"/>
              </w:rPr>
              <w:t xml:space="preserve"> developed. </w:t>
            </w:r>
            <w:r w:rsidR="00D10660">
              <w:rPr>
                <w:sz w:val="14"/>
                <w:szCs w:val="14"/>
              </w:rPr>
              <w:t xml:space="preserve">Current models suggest that testing in </w:t>
            </w:r>
            <w:r w:rsidR="00EF4222">
              <w:rPr>
                <w:sz w:val="14"/>
                <w:szCs w:val="14"/>
              </w:rPr>
              <w:t>1-3-day</w:t>
            </w:r>
            <w:r w:rsidR="00D10660">
              <w:rPr>
                <w:sz w:val="14"/>
                <w:szCs w:val="14"/>
              </w:rPr>
              <w:t xml:space="preserve"> intervals could be effective. </w:t>
            </w:r>
          </w:p>
          <w:p w14:paraId="4C440BDF" w14:textId="77777777" w:rsidR="00E4769C" w:rsidRPr="00E4769C" w:rsidRDefault="00E4769C" w:rsidP="00E4769C">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E4769C">
              <w:rPr>
                <w:sz w:val="14"/>
                <w:szCs w:val="14"/>
              </w:rPr>
              <w:t>To be useful, such a test must be inexpensive, easy to use, fast (less than 1 hour), broadly available and perform well (high PPV, acceptable NPV)</w:t>
            </w:r>
          </w:p>
          <w:p w14:paraId="38B69CB0" w14:textId="6EACE54D" w:rsidR="00E4769C" w:rsidRPr="00EF4222" w:rsidRDefault="004E4D1B" w:rsidP="00E4769C">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Testing service options could include on-site, send-out and mobile</w:t>
            </w:r>
            <w:r w:rsidR="00D10660">
              <w:rPr>
                <w:sz w:val="14"/>
                <w:szCs w:val="14"/>
              </w:rPr>
              <w:t xml:space="preserve"> labs</w:t>
            </w:r>
            <w:r>
              <w:rPr>
                <w:sz w:val="14"/>
                <w:szCs w:val="14"/>
              </w:rPr>
              <w:t xml:space="preserve">.  Selection will depend on the circumstances and needs of the particular </w:t>
            </w:r>
            <w:r w:rsidR="00D10660">
              <w:rPr>
                <w:sz w:val="14"/>
                <w:szCs w:val="14"/>
              </w:rPr>
              <w:t xml:space="preserve">healthcare system, </w:t>
            </w:r>
            <w:r>
              <w:rPr>
                <w:sz w:val="14"/>
                <w:szCs w:val="14"/>
              </w:rPr>
              <w:t>employer</w:t>
            </w:r>
            <w:r w:rsidR="00D10660">
              <w:rPr>
                <w:sz w:val="14"/>
                <w:szCs w:val="14"/>
              </w:rPr>
              <w:t xml:space="preserve"> or school</w:t>
            </w:r>
            <w:r w:rsidR="00E4769C" w:rsidRPr="00E4769C">
              <w:rPr>
                <w:sz w:val="14"/>
                <w:szCs w:val="14"/>
              </w:rPr>
              <w:t xml:space="preserve">. </w:t>
            </w:r>
          </w:p>
          <w:p w14:paraId="6353DBD6" w14:textId="780FFE0D" w:rsidR="00D20578" w:rsidRDefault="00D20578" w:rsidP="00D20578">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To be most effective,</w:t>
            </w:r>
            <w:r w:rsidR="00E4769C">
              <w:rPr>
                <w:sz w:val="14"/>
                <w:szCs w:val="14"/>
              </w:rPr>
              <w:t xml:space="preserve"> </w:t>
            </w:r>
            <w:r>
              <w:rPr>
                <w:sz w:val="14"/>
                <w:szCs w:val="14"/>
              </w:rPr>
              <w:t>screen</w:t>
            </w:r>
            <w:r w:rsidR="00E4769C">
              <w:rPr>
                <w:sz w:val="14"/>
                <w:szCs w:val="14"/>
              </w:rPr>
              <w:t>ing tests</w:t>
            </w:r>
            <w:r>
              <w:rPr>
                <w:sz w:val="14"/>
                <w:szCs w:val="14"/>
              </w:rPr>
              <w:t xml:space="preserve"> should be highly sensitive so that </w:t>
            </w:r>
            <w:r w:rsidR="00D10660">
              <w:rPr>
                <w:sz w:val="14"/>
                <w:szCs w:val="14"/>
              </w:rPr>
              <w:t>few</w:t>
            </w:r>
            <w:r>
              <w:rPr>
                <w:sz w:val="14"/>
                <w:szCs w:val="14"/>
              </w:rPr>
              <w:t xml:space="preserve"> potential cases are missed, even at the risk of poor specificity.  </w:t>
            </w:r>
          </w:p>
          <w:p w14:paraId="0073D8AB" w14:textId="726317FC" w:rsidR="00E4769C" w:rsidRPr="00EF4222" w:rsidRDefault="00E4769C" w:rsidP="00E4769C">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sidRPr="00E4769C">
              <w:rPr>
                <w:sz w:val="14"/>
                <w:szCs w:val="14"/>
              </w:rPr>
              <w:t>Today, RNA testing is</w:t>
            </w:r>
            <w:r>
              <w:rPr>
                <w:sz w:val="14"/>
                <w:szCs w:val="14"/>
              </w:rPr>
              <w:t xml:space="preserve"> the </w:t>
            </w:r>
            <w:r w:rsidR="00D10660">
              <w:rPr>
                <w:sz w:val="14"/>
                <w:szCs w:val="14"/>
              </w:rPr>
              <w:t>most common test selection</w:t>
            </w:r>
            <w:r>
              <w:rPr>
                <w:sz w:val="14"/>
                <w:szCs w:val="14"/>
              </w:rPr>
              <w:t>; however,</w:t>
            </w:r>
            <w:r w:rsidRPr="00E4769C">
              <w:rPr>
                <w:sz w:val="14"/>
                <w:szCs w:val="14"/>
              </w:rPr>
              <w:t xml:space="preserve"> </w:t>
            </w:r>
            <w:r>
              <w:rPr>
                <w:sz w:val="14"/>
                <w:szCs w:val="14"/>
              </w:rPr>
              <w:t>a</w:t>
            </w:r>
            <w:r w:rsidRPr="00E4769C">
              <w:rPr>
                <w:sz w:val="14"/>
                <w:szCs w:val="14"/>
              </w:rPr>
              <w:t xml:space="preserve">ntigen tests </w:t>
            </w:r>
            <w:r w:rsidR="00D10660">
              <w:rPr>
                <w:sz w:val="14"/>
                <w:szCs w:val="14"/>
              </w:rPr>
              <w:t>have been introduced</w:t>
            </w:r>
            <w:r>
              <w:rPr>
                <w:sz w:val="14"/>
                <w:szCs w:val="14"/>
              </w:rPr>
              <w:t xml:space="preserve"> that could have improved and acceptable</w:t>
            </w:r>
            <w:r w:rsidR="00D10660">
              <w:rPr>
                <w:sz w:val="14"/>
                <w:szCs w:val="14"/>
              </w:rPr>
              <w:t xml:space="preserve"> performance. Recent EUA antigen </w:t>
            </w:r>
            <w:r w:rsidR="0021277B">
              <w:rPr>
                <w:sz w:val="14"/>
                <w:szCs w:val="14"/>
              </w:rPr>
              <w:t xml:space="preserve">tests </w:t>
            </w:r>
            <w:r w:rsidR="00D10660">
              <w:rPr>
                <w:sz w:val="14"/>
                <w:szCs w:val="14"/>
              </w:rPr>
              <w:t xml:space="preserve">have been shown to have high sensitivity in persons tested at 5-12 days after symptoms </w:t>
            </w:r>
            <w:r w:rsidR="00EF4222">
              <w:rPr>
                <w:sz w:val="14"/>
                <w:szCs w:val="14"/>
              </w:rPr>
              <w:t>occur but</w:t>
            </w:r>
            <w:r w:rsidR="00D10660">
              <w:rPr>
                <w:sz w:val="14"/>
                <w:szCs w:val="14"/>
              </w:rPr>
              <w:t xml:space="preserve"> have not been shown to be effective in non-symptomatic persons</w:t>
            </w:r>
            <w:r w:rsidR="0021277B">
              <w:rPr>
                <w:sz w:val="14"/>
                <w:szCs w:val="14"/>
              </w:rPr>
              <w:t xml:space="preserve"> at </w:t>
            </w:r>
            <w:r w:rsidR="000432AC">
              <w:rPr>
                <w:sz w:val="14"/>
                <w:szCs w:val="14"/>
              </w:rPr>
              <w:t>t</w:t>
            </w:r>
            <w:r w:rsidR="0021277B">
              <w:rPr>
                <w:sz w:val="14"/>
                <w:szCs w:val="14"/>
              </w:rPr>
              <w:t>he time of writing</w:t>
            </w:r>
            <w:r w:rsidR="00D10660">
              <w:rPr>
                <w:sz w:val="14"/>
                <w:szCs w:val="14"/>
              </w:rPr>
              <w:t xml:space="preserve">.  </w:t>
            </w:r>
            <w:r>
              <w:rPr>
                <w:sz w:val="14"/>
                <w:szCs w:val="14"/>
              </w:rPr>
              <w:t xml:space="preserve"> </w:t>
            </w:r>
          </w:p>
          <w:p w14:paraId="6D1D0F7E" w14:textId="329709A5" w:rsidR="0021277B" w:rsidRDefault="006138DA" w:rsidP="0021277B">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Protocols for </w:t>
            </w:r>
            <w:r w:rsidR="0021277B">
              <w:rPr>
                <w:sz w:val="14"/>
                <w:szCs w:val="14"/>
              </w:rPr>
              <w:t xml:space="preserve">employee </w:t>
            </w:r>
            <w:r>
              <w:rPr>
                <w:sz w:val="14"/>
                <w:szCs w:val="14"/>
              </w:rPr>
              <w:t>testing will be dep</w:t>
            </w:r>
            <w:r w:rsidR="00663B71">
              <w:rPr>
                <w:sz w:val="14"/>
                <w:szCs w:val="14"/>
              </w:rPr>
              <w:t>en</w:t>
            </w:r>
            <w:r>
              <w:rPr>
                <w:sz w:val="14"/>
                <w:szCs w:val="14"/>
              </w:rPr>
              <w:t xml:space="preserve">dent upon the size of the workforce, whether it is a confined workforce with or without exposure to customers, local prevalence and other factors. </w:t>
            </w:r>
          </w:p>
          <w:p w14:paraId="6759BE1B" w14:textId="2D577D93" w:rsidR="00353A51" w:rsidRPr="00353A51" w:rsidRDefault="00353A51" w:rsidP="00353A51">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Health surveys and checks could improve </w:t>
            </w:r>
            <w:r w:rsidR="00A60A19">
              <w:rPr>
                <w:sz w:val="14"/>
                <w:szCs w:val="14"/>
              </w:rPr>
              <w:t xml:space="preserve">the efficiency and cost of </w:t>
            </w:r>
            <w:r>
              <w:rPr>
                <w:sz w:val="14"/>
                <w:szCs w:val="14"/>
              </w:rPr>
              <w:t>testing algorithms and protocols.</w:t>
            </w:r>
          </w:p>
          <w:p w14:paraId="0156106D" w14:textId="77777777" w:rsidR="00353A51" w:rsidRDefault="00663B71" w:rsidP="00E4769C">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Intended use 2 will enable some portion of the workforce </w:t>
            </w:r>
            <w:r w:rsidR="0021277B">
              <w:rPr>
                <w:sz w:val="14"/>
                <w:szCs w:val="14"/>
              </w:rPr>
              <w:t xml:space="preserve">or student body </w:t>
            </w:r>
            <w:r>
              <w:rPr>
                <w:sz w:val="14"/>
                <w:szCs w:val="14"/>
              </w:rPr>
              <w:t xml:space="preserve">to enter areas of potential exposure if the test indicates immunity, but this will be used for new </w:t>
            </w:r>
            <w:r w:rsidR="0021277B">
              <w:rPr>
                <w:sz w:val="14"/>
                <w:szCs w:val="14"/>
              </w:rPr>
              <w:t xml:space="preserve">students and </w:t>
            </w:r>
            <w:r>
              <w:rPr>
                <w:sz w:val="14"/>
                <w:szCs w:val="14"/>
              </w:rPr>
              <w:t>employees and persons that have been infected, so will not be used often</w:t>
            </w:r>
            <w:r w:rsidR="0021277B">
              <w:rPr>
                <w:sz w:val="14"/>
                <w:szCs w:val="14"/>
              </w:rPr>
              <w:t xml:space="preserve">. </w:t>
            </w:r>
          </w:p>
          <w:p w14:paraId="0A759F61" w14:textId="6926F6F5" w:rsidR="00381522" w:rsidRPr="00EF4222" w:rsidRDefault="0021277B" w:rsidP="00E4769C">
            <w:pPr>
              <w:pStyle w:val="ListParagraph"/>
              <w:numPr>
                <w:ilvl w:val="0"/>
                <w:numId w:val="1"/>
              </w:numPr>
              <w:ind w:left="162" w:hanging="162"/>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 xml:space="preserve">Tests that can be used for this intended use have been developed using laboratory based neutralizing antibody tests, but </w:t>
            </w:r>
            <w:r w:rsidR="00353A51">
              <w:rPr>
                <w:sz w:val="14"/>
                <w:szCs w:val="14"/>
              </w:rPr>
              <w:t xml:space="preserve">these </w:t>
            </w:r>
            <w:r>
              <w:rPr>
                <w:sz w:val="14"/>
                <w:szCs w:val="14"/>
              </w:rPr>
              <w:t xml:space="preserve">are expensive and not routine. Simple immunoassay tests that are correlated with neutralization assays are in development. It is not clear that viral neutralization </w:t>
            </w:r>
            <w:r w:rsidRPr="00EF4222">
              <w:rPr>
                <w:i/>
                <w:iCs/>
                <w:sz w:val="14"/>
                <w:szCs w:val="14"/>
              </w:rPr>
              <w:t>in vitro</w:t>
            </w:r>
            <w:r>
              <w:rPr>
                <w:sz w:val="14"/>
                <w:szCs w:val="14"/>
              </w:rPr>
              <w:t xml:space="preserve"> is a true indicator of infectiousness. </w:t>
            </w:r>
          </w:p>
        </w:tc>
      </w:tr>
    </w:tbl>
    <w:p w14:paraId="0A9CE062" w14:textId="77777777" w:rsidR="00AC7D95" w:rsidRDefault="00AC7D95" w:rsidP="00AF7AFC">
      <w:pPr>
        <w:ind w:left="360"/>
        <w:rPr>
          <w:sz w:val="18"/>
          <w:szCs w:val="18"/>
        </w:rPr>
      </w:pPr>
    </w:p>
    <w:p w14:paraId="798B2A8B" w14:textId="59B5B7D0" w:rsidR="00AF7AFC" w:rsidRPr="00940A44" w:rsidRDefault="00AF7AFC" w:rsidP="00AF7AFC">
      <w:pPr>
        <w:ind w:left="360"/>
        <w:rPr>
          <w:sz w:val="18"/>
          <w:szCs w:val="18"/>
        </w:rPr>
      </w:pPr>
      <w:r w:rsidRPr="00940A44">
        <w:rPr>
          <w:sz w:val="18"/>
          <w:szCs w:val="18"/>
        </w:rPr>
        <w:t xml:space="preserve">*Price targets refers to the target price to the end user.  </w:t>
      </w:r>
      <w:r w:rsidR="00612F20" w:rsidRPr="00940A44">
        <w:rPr>
          <w:sz w:val="18"/>
          <w:szCs w:val="18"/>
        </w:rPr>
        <w:t xml:space="preserve">This is a highly variable target, depending on the target use setting.  </w:t>
      </w:r>
      <w:r w:rsidR="00056B68" w:rsidRPr="00940A44">
        <w:rPr>
          <w:sz w:val="18"/>
          <w:szCs w:val="18"/>
        </w:rPr>
        <w:t>Payments and reimbursement amounts are frequently influenced by the type of assay technology used.  This</w:t>
      </w:r>
      <w:r w:rsidRPr="00940A44">
        <w:rPr>
          <w:sz w:val="18"/>
          <w:szCs w:val="18"/>
        </w:rPr>
        <w:t xml:space="preserve"> may not be the complete price per result </w:t>
      </w:r>
      <w:r w:rsidR="00056B68" w:rsidRPr="00940A44">
        <w:rPr>
          <w:sz w:val="18"/>
          <w:szCs w:val="18"/>
        </w:rPr>
        <w:t>i</w:t>
      </w:r>
      <w:r w:rsidRPr="00940A44">
        <w:rPr>
          <w:sz w:val="18"/>
          <w:szCs w:val="18"/>
        </w:rPr>
        <w:t xml:space="preserve">f other ancillary equipment or consumables are required.  For health economic modeling, the complete price per result must be considered. </w:t>
      </w:r>
      <w:r w:rsidR="007F2A0C">
        <w:rPr>
          <w:sz w:val="18"/>
          <w:szCs w:val="18"/>
        </w:rPr>
        <w:t>Price targets should not be established relative to the current willingness to pay by governments and other users for SARS-CoV-2 tests during the early stages of the pandemic</w:t>
      </w:r>
      <w:r w:rsidR="00010E3A">
        <w:rPr>
          <w:sz w:val="18"/>
          <w:szCs w:val="18"/>
        </w:rPr>
        <w:t xml:space="preserve"> (e.g., $51 - $100 per test for non-CDC tests in the U.S.)</w:t>
      </w:r>
      <w:r w:rsidR="007F2A0C">
        <w:rPr>
          <w:sz w:val="18"/>
          <w:szCs w:val="18"/>
        </w:rPr>
        <w:t>.  Rather, price points should be targeted relative to other similar assay types currently on the market.</w:t>
      </w:r>
    </w:p>
    <w:sectPr w:rsidR="00AF7AFC" w:rsidRPr="00940A44" w:rsidSect="00FC44EB">
      <w:headerReference w:type="default" r:id="rId8"/>
      <w:footerReference w:type="default" r:id="rId9"/>
      <w:pgSz w:w="15840" w:h="12240" w:orient="landscape"/>
      <w:pgMar w:top="1008" w:right="1008" w:bottom="720" w:left="1008"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0B27E" w14:textId="77777777" w:rsidR="0057651C" w:rsidRDefault="0057651C" w:rsidP="00DC12F1">
      <w:pPr>
        <w:spacing w:after="0" w:line="240" w:lineRule="auto"/>
      </w:pPr>
      <w:r>
        <w:separator/>
      </w:r>
    </w:p>
  </w:endnote>
  <w:endnote w:type="continuationSeparator" w:id="0">
    <w:p w14:paraId="208227A8" w14:textId="77777777" w:rsidR="0057651C" w:rsidRDefault="0057651C" w:rsidP="00DC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04"/>
      <w:gridCol w:w="4605"/>
      <w:gridCol w:w="4605"/>
    </w:tblGrid>
    <w:tr w:rsidR="00AC0FEF" w14:paraId="463FD661" w14:textId="77777777" w:rsidTr="00FC44EB">
      <w:tc>
        <w:tcPr>
          <w:tcW w:w="4604" w:type="dxa"/>
          <w:vMerge w:val="restart"/>
          <w:tcBorders>
            <w:top w:val="single" w:sz="8" w:space="0" w:color="ED7D31" w:themeColor="accent2"/>
            <w:left w:val="nil"/>
            <w:bottom w:val="nil"/>
            <w:right w:val="nil"/>
          </w:tcBorders>
          <w:vAlign w:val="bottom"/>
        </w:tcPr>
        <w:p w14:paraId="19A54FE3" w14:textId="3A2F876A" w:rsidR="00AC0FEF" w:rsidRDefault="00AC0FEF" w:rsidP="00FC44EB">
          <w:pPr>
            <w:pStyle w:val="FooterAddress"/>
            <w:tabs>
              <w:tab w:val="center" w:pos="7110"/>
              <w:tab w:val="right" w:pos="9630"/>
              <w:tab w:val="right" w:pos="13770"/>
            </w:tabs>
            <w:rPr>
              <w:sz w:val="20"/>
              <w:szCs w:val="20"/>
            </w:rPr>
          </w:pPr>
          <w:r w:rsidRPr="00422CE2">
            <w:drawing>
              <wp:inline distT="0" distB="0" distL="0" distR="0" wp14:anchorId="4A18F339" wp14:editId="3A379D16">
                <wp:extent cx="663547" cy="24061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547" cy="240612"/>
                        </a:xfrm>
                        <a:prstGeom prst="rect">
                          <a:avLst/>
                        </a:prstGeom>
                        <a:noFill/>
                      </pic:spPr>
                    </pic:pic>
                  </a:graphicData>
                </a:graphic>
              </wp:inline>
            </w:drawing>
          </w:r>
        </w:p>
      </w:tc>
      <w:tc>
        <w:tcPr>
          <w:tcW w:w="4605" w:type="dxa"/>
          <w:tcBorders>
            <w:top w:val="single" w:sz="8" w:space="0" w:color="ED7D31" w:themeColor="accent2"/>
            <w:left w:val="nil"/>
            <w:bottom w:val="nil"/>
            <w:right w:val="nil"/>
          </w:tcBorders>
          <w:vAlign w:val="bottom"/>
        </w:tcPr>
        <w:p w14:paraId="75F673B4" w14:textId="4FE4C92E" w:rsidR="00AC0FEF" w:rsidRDefault="00AC0FEF" w:rsidP="00FC44EB">
          <w:pPr>
            <w:pStyle w:val="FooterAddress"/>
            <w:tabs>
              <w:tab w:val="clear" w:pos="4680"/>
              <w:tab w:val="clear" w:pos="9360"/>
              <w:tab w:val="center" w:pos="7110"/>
              <w:tab w:val="right" w:pos="9630"/>
              <w:tab w:val="right" w:pos="13770"/>
            </w:tabs>
            <w:jc w:val="center"/>
            <w:rPr>
              <w:sz w:val="20"/>
              <w:szCs w:val="20"/>
            </w:rPr>
          </w:pPr>
          <w:r>
            <w:rPr>
              <w:sz w:val="16"/>
              <w:szCs w:val="16"/>
            </w:rPr>
            <w:fldChar w:fldCharType="begin"/>
          </w:r>
          <w:r>
            <w:rPr>
              <w:sz w:val="16"/>
              <w:szCs w:val="16"/>
            </w:rPr>
            <w:instrText xml:space="preserve"> FILENAME  \* MERGEFORMAT </w:instrText>
          </w:r>
          <w:r>
            <w:rPr>
              <w:sz w:val="16"/>
              <w:szCs w:val="16"/>
            </w:rPr>
            <w:fldChar w:fldCharType="separate"/>
          </w:r>
          <w:r>
            <w:rPr>
              <w:sz w:val="16"/>
              <w:szCs w:val="16"/>
            </w:rPr>
            <w:t>Use Cases for SARS-CoV-2 Dx 202009</w:t>
          </w:r>
          <w:r w:rsidR="00551726">
            <w:rPr>
              <w:sz w:val="16"/>
              <w:szCs w:val="16"/>
            </w:rPr>
            <w:t>12</w:t>
          </w:r>
          <w:r>
            <w:rPr>
              <w:sz w:val="16"/>
              <w:szCs w:val="16"/>
            </w:rPr>
            <w:t xml:space="preserve"> (v</w:t>
          </w:r>
          <w:r w:rsidR="00F13DA7">
            <w:rPr>
              <w:sz w:val="16"/>
              <w:szCs w:val="16"/>
            </w:rPr>
            <w:t>1</w:t>
          </w:r>
          <w:r w:rsidR="005A246E">
            <w:rPr>
              <w:sz w:val="16"/>
              <w:szCs w:val="16"/>
            </w:rPr>
            <w:t>2</w:t>
          </w:r>
          <w:r>
            <w:rPr>
              <w:sz w:val="16"/>
              <w:szCs w:val="16"/>
            </w:rPr>
            <w:t>).docx</w:t>
          </w:r>
          <w:r>
            <w:rPr>
              <w:sz w:val="16"/>
              <w:szCs w:val="16"/>
            </w:rPr>
            <w:fldChar w:fldCharType="end"/>
          </w:r>
        </w:p>
      </w:tc>
      <w:tc>
        <w:tcPr>
          <w:tcW w:w="4605" w:type="dxa"/>
          <w:tcBorders>
            <w:top w:val="single" w:sz="8" w:space="0" w:color="ED7D31" w:themeColor="accent2"/>
            <w:left w:val="nil"/>
            <w:bottom w:val="nil"/>
            <w:right w:val="nil"/>
          </w:tcBorders>
        </w:tcPr>
        <w:p w14:paraId="0AC1C218" w14:textId="77777777" w:rsidR="00AC0FEF" w:rsidRDefault="00AC0FEF" w:rsidP="00FC44EB">
          <w:pPr>
            <w:pStyle w:val="FooterAddress"/>
            <w:tabs>
              <w:tab w:val="clear" w:pos="4680"/>
              <w:tab w:val="clear" w:pos="9360"/>
              <w:tab w:val="center" w:pos="7110"/>
              <w:tab w:val="right" w:pos="9630"/>
              <w:tab w:val="right" w:pos="13770"/>
            </w:tabs>
            <w:spacing w:after="60"/>
            <w:jc w:val="right"/>
            <w:rPr>
              <w:sz w:val="20"/>
              <w:szCs w:val="20"/>
            </w:rPr>
          </w:pPr>
          <w:r w:rsidRPr="00422CE2">
            <w:rPr>
              <w:sz w:val="18"/>
            </w:rPr>
            <w:t xml:space="preserve">       </w:t>
          </w:r>
          <w:r w:rsidRPr="00422CE2">
            <w:rPr>
              <w:sz w:val="16"/>
              <w:szCs w:val="16"/>
            </w:rPr>
            <w:t xml:space="preserve">Page </w:t>
          </w:r>
          <w:r w:rsidRPr="00422CE2">
            <w:rPr>
              <w:sz w:val="16"/>
              <w:szCs w:val="16"/>
            </w:rPr>
            <w:fldChar w:fldCharType="begin"/>
          </w:r>
          <w:r w:rsidRPr="00422CE2">
            <w:rPr>
              <w:sz w:val="16"/>
              <w:szCs w:val="16"/>
            </w:rPr>
            <w:instrText xml:space="preserve"> PAGE </w:instrText>
          </w:r>
          <w:r w:rsidRPr="00422CE2">
            <w:rPr>
              <w:sz w:val="16"/>
              <w:szCs w:val="16"/>
            </w:rPr>
            <w:fldChar w:fldCharType="separate"/>
          </w:r>
          <w:r w:rsidRPr="00422CE2">
            <w:rPr>
              <w:sz w:val="16"/>
              <w:szCs w:val="16"/>
            </w:rPr>
            <w:t>7</w:t>
          </w:r>
          <w:r w:rsidRPr="00422CE2">
            <w:rPr>
              <w:sz w:val="16"/>
              <w:szCs w:val="16"/>
            </w:rPr>
            <w:fldChar w:fldCharType="end"/>
          </w:r>
          <w:r w:rsidRPr="00422CE2">
            <w:rPr>
              <w:sz w:val="16"/>
              <w:szCs w:val="16"/>
            </w:rPr>
            <w:t xml:space="preserve"> of </w:t>
          </w:r>
          <w:r w:rsidRPr="00422CE2">
            <w:rPr>
              <w:sz w:val="16"/>
              <w:szCs w:val="16"/>
            </w:rPr>
            <w:fldChar w:fldCharType="begin"/>
          </w:r>
          <w:r w:rsidRPr="00422CE2">
            <w:rPr>
              <w:sz w:val="16"/>
              <w:szCs w:val="16"/>
            </w:rPr>
            <w:instrText xml:space="preserve"> NUMPAGES  </w:instrText>
          </w:r>
          <w:r w:rsidRPr="00422CE2">
            <w:rPr>
              <w:sz w:val="16"/>
              <w:szCs w:val="16"/>
            </w:rPr>
            <w:fldChar w:fldCharType="separate"/>
          </w:r>
          <w:r w:rsidRPr="00422CE2">
            <w:rPr>
              <w:sz w:val="16"/>
              <w:szCs w:val="16"/>
            </w:rPr>
            <w:t>8</w:t>
          </w:r>
          <w:r w:rsidRPr="00422CE2">
            <w:rPr>
              <w:sz w:val="16"/>
              <w:szCs w:val="16"/>
            </w:rPr>
            <w:fldChar w:fldCharType="end"/>
          </w:r>
        </w:p>
      </w:tc>
    </w:tr>
    <w:tr w:rsidR="00AC0FEF" w14:paraId="03DCD661" w14:textId="77777777" w:rsidTr="00FC44EB">
      <w:tc>
        <w:tcPr>
          <w:tcW w:w="4604" w:type="dxa"/>
          <w:vMerge/>
          <w:tcBorders>
            <w:top w:val="nil"/>
            <w:left w:val="nil"/>
            <w:bottom w:val="nil"/>
            <w:right w:val="nil"/>
          </w:tcBorders>
        </w:tcPr>
        <w:p w14:paraId="1A1021E7" w14:textId="77777777" w:rsidR="00AC0FEF" w:rsidRDefault="00AC0FEF" w:rsidP="00FC44EB">
          <w:pPr>
            <w:pStyle w:val="FooterAddress"/>
            <w:tabs>
              <w:tab w:val="clear" w:pos="4680"/>
              <w:tab w:val="clear" w:pos="9360"/>
              <w:tab w:val="center" w:pos="7110"/>
              <w:tab w:val="right" w:pos="9630"/>
              <w:tab w:val="right" w:pos="13770"/>
            </w:tabs>
            <w:rPr>
              <w:sz w:val="20"/>
              <w:szCs w:val="20"/>
            </w:rPr>
          </w:pPr>
        </w:p>
      </w:tc>
      <w:tc>
        <w:tcPr>
          <w:tcW w:w="9210" w:type="dxa"/>
          <w:gridSpan w:val="2"/>
          <w:tcBorders>
            <w:top w:val="nil"/>
            <w:left w:val="nil"/>
            <w:bottom w:val="nil"/>
            <w:right w:val="nil"/>
          </w:tcBorders>
          <w:vAlign w:val="bottom"/>
        </w:tcPr>
        <w:p w14:paraId="77F16C83" w14:textId="77777777" w:rsidR="00AC0FEF" w:rsidRDefault="00AC0FEF" w:rsidP="00FC44EB">
          <w:pPr>
            <w:pStyle w:val="FooterAddress"/>
            <w:tabs>
              <w:tab w:val="clear" w:pos="4680"/>
              <w:tab w:val="clear" w:pos="9360"/>
              <w:tab w:val="center" w:pos="7110"/>
              <w:tab w:val="right" w:pos="9630"/>
              <w:tab w:val="right" w:pos="13770"/>
            </w:tabs>
            <w:spacing w:before="60"/>
            <w:rPr>
              <w:sz w:val="20"/>
              <w:szCs w:val="20"/>
            </w:rPr>
          </w:pPr>
          <w:r w:rsidRPr="00422CE2">
            <w:rPr>
              <w:sz w:val="16"/>
              <w:szCs w:val="16"/>
            </w:rPr>
            <w:t xml:space="preserve">2010 Crow Canyon Place, Suite 100 </w:t>
          </w:r>
          <w:r w:rsidRPr="00422CE2">
            <w:rPr>
              <w:rFonts w:ascii="Arial" w:hAnsi="Arial"/>
              <w:color w:val="548DD4"/>
              <w:sz w:val="16"/>
              <w:szCs w:val="16"/>
            </w:rPr>
            <w:t>●</w:t>
          </w:r>
          <w:r w:rsidRPr="00422CE2">
            <w:rPr>
              <w:sz w:val="16"/>
              <w:szCs w:val="16"/>
            </w:rPr>
            <w:t xml:space="preserve"> San Ramon, CA 94583 </w:t>
          </w:r>
          <w:r w:rsidRPr="00422CE2">
            <w:rPr>
              <w:rFonts w:ascii="Arial" w:hAnsi="Arial"/>
              <w:color w:val="548DD4"/>
              <w:sz w:val="16"/>
              <w:szCs w:val="16"/>
            </w:rPr>
            <w:t>●</w:t>
          </w:r>
          <w:r w:rsidRPr="00422CE2">
            <w:rPr>
              <w:sz w:val="16"/>
              <w:szCs w:val="16"/>
            </w:rPr>
            <w:t xml:space="preserve"> www.halteresassociates.com</w:t>
          </w:r>
        </w:p>
      </w:tc>
    </w:tr>
  </w:tbl>
  <w:p w14:paraId="27DB9B3D" w14:textId="476C5192" w:rsidR="00AC0FEF" w:rsidRPr="00FC44EB" w:rsidRDefault="00AC0FEF" w:rsidP="00FC44EB">
    <w:pPr>
      <w:pStyle w:val="FooterAddress"/>
      <w:tabs>
        <w:tab w:val="clear" w:pos="4680"/>
        <w:tab w:val="clear" w:pos="9360"/>
        <w:tab w:val="center" w:pos="7110"/>
        <w:tab w:val="right" w:pos="9630"/>
        <w:tab w:val="right" w:pos="1377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E6D3C" w14:textId="77777777" w:rsidR="0057651C" w:rsidRDefault="0057651C" w:rsidP="00DC12F1">
      <w:pPr>
        <w:spacing w:after="0" w:line="240" w:lineRule="auto"/>
      </w:pPr>
      <w:r>
        <w:separator/>
      </w:r>
    </w:p>
  </w:footnote>
  <w:footnote w:type="continuationSeparator" w:id="0">
    <w:p w14:paraId="2818660A" w14:textId="77777777" w:rsidR="0057651C" w:rsidRDefault="0057651C" w:rsidP="00DC1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F072" w14:textId="3A5D03D7" w:rsidR="00AC0FEF" w:rsidRPr="00ED3CAE" w:rsidRDefault="00AC0FEF" w:rsidP="00ED3CAE">
    <w:pPr>
      <w:pStyle w:val="Header"/>
      <w:tabs>
        <w:tab w:val="clear" w:pos="4680"/>
        <w:tab w:val="clear" w:pos="9360"/>
        <w:tab w:val="right" w:pos="13770"/>
      </w:tabs>
      <w:rPr>
        <w:b/>
        <w:bCs/>
        <w:sz w:val="28"/>
        <w:szCs w:val="28"/>
      </w:rPr>
    </w:pPr>
    <w:r w:rsidRPr="00ED3CAE">
      <w:rPr>
        <w:b/>
        <w:bCs/>
        <w:sz w:val="28"/>
        <w:szCs w:val="28"/>
      </w:rPr>
      <w:t>Use Cases for SARS-CoV-2 Assays</w:t>
    </w:r>
    <w:r w:rsidRPr="00ED3CAE">
      <w:rPr>
        <w:b/>
        <w:bCs/>
        <w:sz w:val="28"/>
        <w:szCs w:val="28"/>
      </w:rPr>
      <w:tab/>
    </w:r>
    <w:r>
      <w:rPr>
        <w:b/>
        <w:bCs/>
        <w:sz w:val="28"/>
        <w:szCs w:val="28"/>
      </w:rPr>
      <w:t>Revised</w:t>
    </w:r>
    <w:r w:rsidRPr="00ED3CAE">
      <w:rPr>
        <w:b/>
        <w:bCs/>
        <w:sz w:val="28"/>
        <w:szCs w:val="28"/>
      </w:rPr>
      <w:t xml:space="preserve"> by Halteres Associates, </w:t>
    </w:r>
    <w:r>
      <w:rPr>
        <w:b/>
        <w:bCs/>
        <w:sz w:val="28"/>
        <w:szCs w:val="28"/>
      </w:rPr>
      <w:t xml:space="preserve">September </w:t>
    </w:r>
    <w:r w:rsidR="00551726">
      <w:rPr>
        <w:b/>
        <w:bCs/>
        <w:sz w:val="28"/>
        <w:szCs w:val="28"/>
      </w:rPr>
      <w:t>12</w:t>
    </w:r>
    <w:r w:rsidRPr="00ED3CAE">
      <w:rPr>
        <w:b/>
        <w:bCs/>
        <w:sz w:val="28"/>
        <w:szCs w:val="2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504F"/>
    <w:multiLevelType w:val="hybridMultilevel"/>
    <w:tmpl w:val="61FC8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218E4"/>
    <w:multiLevelType w:val="hybridMultilevel"/>
    <w:tmpl w:val="60B0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726E"/>
    <w:multiLevelType w:val="hybridMultilevel"/>
    <w:tmpl w:val="59AC7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30B9F"/>
    <w:multiLevelType w:val="hybridMultilevel"/>
    <w:tmpl w:val="FE3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30952"/>
    <w:multiLevelType w:val="hybridMultilevel"/>
    <w:tmpl w:val="A9EEB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53B2F"/>
    <w:multiLevelType w:val="hybridMultilevel"/>
    <w:tmpl w:val="7B4E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46E7A"/>
    <w:multiLevelType w:val="hybridMultilevel"/>
    <w:tmpl w:val="ED5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5402B"/>
    <w:multiLevelType w:val="hybridMultilevel"/>
    <w:tmpl w:val="DA544A5C"/>
    <w:lvl w:ilvl="0" w:tplc="0E04F5E2">
      <w:start w:val="1"/>
      <w:numFmt w:val="bullet"/>
      <w:lvlText w:val="•"/>
      <w:lvlJc w:val="left"/>
      <w:pPr>
        <w:tabs>
          <w:tab w:val="num" w:pos="720"/>
        </w:tabs>
        <w:ind w:left="720" w:hanging="360"/>
      </w:pPr>
      <w:rPr>
        <w:rFonts w:ascii="Arial" w:hAnsi="Arial" w:hint="default"/>
      </w:rPr>
    </w:lvl>
    <w:lvl w:ilvl="1" w:tplc="97C85430" w:tentative="1">
      <w:start w:val="1"/>
      <w:numFmt w:val="bullet"/>
      <w:lvlText w:val="•"/>
      <w:lvlJc w:val="left"/>
      <w:pPr>
        <w:tabs>
          <w:tab w:val="num" w:pos="1440"/>
        </w:tabs>
        <w:ind w:left="1440" w:hanging="360"/>
      </w:pPr>
      <w:rPr>
        <w:rFonts w:ascii="Arial" w:hAnsi="Arial" w:hint="default"/>
      </w:rPr>
    </w:lvl>
    <w:lvl w:ilvl="2" w:tplc="0A76B5C0" w:tentative="1">
      <w:start w:val="1"/>
      <w:numFmt w:val="bullet"/>
      <w:lvlText w:val="•"/>
      <w:lvlJc w:val="left"/>
      <w:pPr>
        <w:tabs>
          <w:tab w:val="num" w:pos="2160"/>
        </w:tabs>
        <w:ind w:left="2160" w:hanging="360"/>
      </w:pPr>
      <w:rPr>
        <w:rFonts w:ascii="Arial" w:hAnsi="Arial" w:hint="default"/>
      </w:rPr>
    </w:lvl>
    <w:lvl w:ilvl="3" w:tplc="056C6D98" w:tentative="1">
      <w:start w:val="1"/>
      <w:numFmt w:val="bullet"/>
      <w:lvlText w:val="•"/>
      <w:lvlJc w:val="left"/>
      <w:pPr>
        <w:tabs>
          <w:tab w:val="num" w:pos="2880"/>
        </w:tabs>
        <w:ind w:left="2880" w:hanging="360"/>
      </w:pPr>
      <w:rPr>
        <w:rFonts w:ascii="Arial" w:hAnsi="Arial" w:hint="default"/>
      </w:rPr>
    </w:lvl>
    <w:lvl w:ilvl="4" w:tplc="F43C3A80" w:tentative="1">
      <w:start w:val="1"/>
      <w:numFmt w:val="bullet"/>
      <w:lvlText w:val="•"/>
      <w:lvlJc w:val="left"/>
      <w:pPr>
        <w:tabs>
          <w:tab w:val="num" w:pos="3600"/>
        </w:tabs>
        <w:ind w:left="3600" w:hanging="360"/>
      </w:pPr>
      <w:rPr>
        <w:rFonts w:ascii="Arial" w:hAnsi="Arial" w:hint="default"/>
      </w:rPr>
    </w:lvl>
    <w:lvl w:ilvl="5" w:tplc="A9FEE864" w:tentative="1">
      <w:start w:val="1"/>
      <w:numFmt w:val="bullet"/>
      <w:lvlText w:val="•"/>
      <w:lvlJc w:val="left"/>
      <w:pPr>
        <w:tabs>
          <w:tab w:val="num" w:pos="4320"/>
        </w:tabs>
        <w:ind w:left="4320" w:hanging="360"/>
      </w:pPr>
      <w:rPr>
        <w:rFonts w:ascii="Arial" w:hAnsi="Arial" w:hint="default"/>
      </w:rPr>
    </w:lvl>
    <w:lvl w:ilvl="6" w:tplc="F878B37C" w:tentative="1">
      <w:start w:val="1"/>
      <w:numFmt w:val="bullet"/>
      <w:lvlText w:val="•"/>
      <w:lvlJc w:val="left"/>
      <w:pPr>
        <w:tabs>
          <w:tab w:val="num" w:pos="5040"/>
        </w:tabs>
        <w:ind w:left="5040" w:hanging="360"/>
      </w:pPr>
      <w:rPr>
        <w:rFonts w:ascii="Arial" w:hAnsi="Arial" w:hint="default"/>
      </w:rPr>
    </w:lvl>
    <w:lvl w:ilvl="7" w:tplc="454A89BE" w:tentative="1">
      <w:start w:val="1"/>
      <w:numFmt w:val="bullet"/>
      <w:lvlText w:val="•"/>
      <w:lvlJc w:val="left"/>
      <w:pPr>
        <w:tabs>
          <w:tab w:val="num" w:pos="5760"/>
        </w:tabs>
        <w:ind w:left="5760" w:hanging="360"/>
      </w:pPr>
      <w:rPr>
        <w:rFonts w:ascii="Arial" w:hAnsi="Arial" w:hint="default"/>
      </w:rPr>
    </w:lvl>
    <w:lvl w:ilvl="8" w:tplc="A6B641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4729BF"/>
    <w:multiLevelType w:val="hybridMultilevel"/>
    <w:tmpl w:val="9A1A636C"/>
    <w:lvl w:ilvl="0" w:tplc="BAFA8934">
      <w:start w:val="1"/>
      <w:numFmt w:val="bullet"/>
      <w:lvlText w:val=""/>
      <w:lvlJc w:val="left"/>
      <w:pPr>
        <w:tabs>
          <w:tab w:val="num" w:pos="720"/>
        </w:tabs>
        <w:ind w:left="720" w:hanging="360"/>
      </w:pPr>
      <w:rPr>
        <w:rFonts w:ascii="Wingdings" w:hAnsi="Wingdings" w:hint="default"/>
      </w:rPr>
    </w:lvl>
    <w:lvl w:ilvl="1" w:tplc="1186A012" w:tentative="1">
      <w:start w:val="1"/>
      <w:numFmt w:val="bullet"/>
      <w:lvlText w:val=""/>
      <w:lvlJc w:val="left"/>
      <w:pPr>
        <w:tabs>
          <w:tab w:val="num" w:pos="1440"/>
        </w:tabs>
        <w:ind w:left="1440" w:hanging="360"/>
      </w:pPr>
      <w:rPr>
        <w:rFonts w:ascii="Wingdings" w:hAnsi="Wingdings" w:hint="default"/>
      </w:rPr>
    </w:lvl>
    <w:lvl w:ilvl="2" w:tplc="6B200C08" w:tentative="1">
      <w:start w:val="1"/>
      <w:numFmt w:val="bullet"/>
      <w:lvlText w:val=""/>
      <w:lvlJc w:val="left"/>
      <w:pPr>
        <w:tabs>
          <w:tab w:val="num" w:pos="2160"/>
        </w:tabs>
        <w:ind w:left="2160" w:hanging="360"/>
      </w:pPr>
      <w:rPr>
        <w:rFonts w:ascii="Wingdings" w:hAnsi="Wingdings" w:hint="default"/>
      </w:rPr>
    </w:lvl>
    <w:lvl w:ilvl="3" w:tplc="1116DBEC" w:tentative="1">
      <w:start w:val="1"/>
      <w:numFmt w:val="bullet"/>
      <w:lvlText w:val=""/>
      <w:lvlJc w:val="left"/>
      <w:pPr>
        <w:tabs>
          <w:tab w:val="num" w:pos="2880"/>
        </w:tabs>
        <w:ind w:left="2880" w:hanging="360"/>
      </w:pPr>
      <w:rPr>
        <w:rFonts w:ascii="Wingdings" w:hAnsi="Wingdings" w:hint="default"/>
      </w:rPr>
    </w:lvl>
    <w:lvl w:ilvl="4" w:tplc="64F6B35A" w:tentative="1">
      <w:start w:val="1"/>
      <w:numFmt w:val="bullet"/>
      <w:lvlText w:val=""/>
      <w:lvlJc w:val="left"/>
      <w:pPr>
        <w:tabs>
          <w:tab w:val="num" w:pos="3600"/>
        </w:tabs>
        <w:ind w:left="3600" w:hanging="360"/>
      </w:pPr>
      <w:rPr>
        <w:rFonts w:ascii="Wingdings" w:hAnsi="Wingdings" w:hint="default"/>
      </w:rPr>
    </w:lvl>
    <w:lvl w:ilvl="5" w:tplc="F998FF18" w:tentative="1">
      <w:start w:val="1"/>
      <w:numFmt w:val="bullet"/>
      <w:lvlText w:val=""/>
      <w:lvlJc w:val="left"/>
      <w:pPr>
        <w:tabs>
          <w:tab w:val="num" w:pos="4320"/>
        </w:tabs>
        <w:ind w:left="4320" w:hanging="360"/>
      </w:pPr>
      <w:rPr>
        <w:rFonts w:ascii="Wingdings" w:hAnsi="Wingdings" w:hint="default"/>
      </w:rPr>
    </w:lvl>
    <w:lvl w:ilvl="6" w:tplc="FF38C198" w:tentative="1">
      <w:start w:val="1"/>
      <w:numFmt w:val="bullet"/>
      <w:lvlText w:val=""/>
      <w:lvlJc w:val="left"/>
      <w:pPr>
        <w:tabs>
          <w:tab w:val="num" w:pos="5040"/>
        </w:tabs>
        <w:ind w:left="5040" w:hanging="360"/>
      </w:pPr>
      <w:rPr>
        <w:rFonts w:ascii="Wingdings" w:hAnsi="Wingdings" w:hint="default"/>
      </w:rPr>
    </w:lvl>
    <w:lvl w:ilvl="7" w:tplc="81F88F54" w:tentative="1">
      <w:start w:val="1"/>
      <w:numFmt w:val="bullet"/>
      <w:lvlText w:val=""/>
      <w:lvlJc w:val="left"/>
      <w:pPr>
        <w:tabs>
          <w:tab w:val="num" w:pos="5760"/>
        </w:tabs>
        <w:ind w:left="5760" w:hanging="360"/>
      </w:pPr>
      <w:rPr>
        <w:rFonts w:ascii="Wingdings" w:hAnsi="Wingdings" w:hint="default"/>
      </w:rPr>
    </w:lvl>
    <w:lvl w:ilvl="8" w:tplc="3190D3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FF188C"/>
    <w:multiLevelType w:val="hybridMultilevel"/>
    <w:tmpl w:val="A19C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7"/>
  </w:num>
  <w:num w:numId="6">
    <w:abstractNumId w:val="1"/>
  </w:num>
  <w:num w:numId="7">
    <w:abstractNumId w:val="9"/>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F0"/>
    <w:rsid w:val="00000E3A"/>
    <w:rsid w:val="00004C0A"/>
    <w:rsid w:val="00010E3A"/>
    <w:rsid w:val="000129C8"/>
    <w:rsid w:val="000168C1"/>
    <w:rsid w:val="000221AB"/>
    <w:rsid w:val="00026439"/>
    <w:rsid w:val="00026960"/>
    <w:rsid w:val="00041DF5"/>
    <w:rsid w:val="000432AC"/>
    <w:rsid w:val="000446B4"/>
    <w:rsid w:val="00051DA5"/>
    <w:rsid w:val="00053960"/>
    <w:rsid w:val="00056B68"/>
    <w:rsid w:val="00057D60"/>
    <w:rsid w:val="00074233"/>
    <w:rsid w:val="00086963"/>
    <w:rsid w:val="000909CC"/>
    <w:rsid w:val="00090EE0"/>
    <w:rsid w:val="00095DD2"/>
    <w:rsid w:val="0009773A"/>
    <w:rsid w:val="000A1906"/>
    <w:rsid w:val="000A42BF"/>
    <w:rsid w:val="000A75C8"/>
    <w:rsid w:val="000C3FCF"/>
    <w:rsid w:val="000D5DFB"/>
    <w:rsid w:val="000E06DF"/>
    <w:rsid w:val="000F2DA0"/>
    <w:rsid w:val="000F63F3"/>
    <w:rsid w:val="000F77E5"/>
    <w:rsid w:val="000F7F16"/>
    <w:rsid w:val="00102CB5"/>
    <w:rsid w:val="00103883"/>
    <w:rsid w:val="00114CA3"/>
    <w:rsid w:val="00115553"/>
    <w:rsid w:val="001310A3"/>
    <w:rsid w:val="00132B13"/>
    <w:rsid w:val="001410E2"/>
    <w:rsid w:val="00147D85"/>
    <w:rsid w:val="00150EAD"/>
    <w:rsid w:val="0015374E"/>
    <w:rsid w:val="00155014"/>
    <w:rsid w:val="0015509A"/>
    <w:rsid w:val="001573EF"/>
    <w:rsid w:val="00172BE8"/>
    <w:rsid w:val="00183388"/>
    <w:rsid w:val="0018341B"/>
    <w:rsid w:val="001843D0"/>
    <w:rsid w:val="001A6BDC"/>
    <w:rsid w:val="001B5F9A"/>
    <w:rsid w:val="001C28E0"/>
    <w:rsid w:val="001D4B7C"/>
    <w:rsid w:val="001F3E79"/>
    <w:rsid w:val="00202970"/>
    <w:rsid w:val="0020688A"/>
    <w:rsid w:val="0021277B"/>
    <w:rsid w:val="00213EB3"/>
    <w:rsid w:val="00217697"/>
    <w:rsid w:val="00221767"/>
    <w:rsid w:val="002221AF"/>
    <w:rsid w:val="00231382"/>
    <w:rsid w:val="00241A4A"/>
    <w:rsid w:val="00243048"/>
    <w:rsid w:val="00250B92"/>
    <w:rsid w:val="00270413"/>
    <w:rsid w:val="0027242A"/>
    <w:rsid w:val="00273A99"/>
    <w:rsid w:val="00285126"/>
    <w:rsid w:val="00292857"/>
    <w:rsid w:val="002934BA"/>
    <w:rsid w:val="002A26BB"/>
    <w:rsid w:val="002B365B"/>
    <w:rsid w:val="002C373F"/>
    <w:rsid w:val="002C58D9"/>
    <w:rsid w:val="002C5C94"/>
    <w:rsid w:val="002D2B60"/>
    <w:rsid w:val="002F50D5"/>
    <w:rsid w:val="002F5F15"/>
    <w:rsid w:val="00303324"/>
    <w:rsid w:val="00311AB7"/>
    <w:rsid w:val="003136D8"/>
    <w:rsid w:val="003209EA"/>
    <w:rsid w:val="0032681C"/>
    <w:rsid w:val="00332C49"/>
    <w:rsid w:val="0034199C"/>
    <w:rsid w:val="00342A32"/>
    <w:rsid w:val="00345B16"/>
    <w:rsid w:val="003461EA"/>
    <w:rsid w:val="00347757"/>
    <w:rsid w:val="00350545"/>
    <w:rsid w:val="00351210"/>
    <w:rsid w:val="00353A51"/>
    <w:rsid w:val="00356087"/>
    <w:rsid w:val="00370B2B"/>
    <w:rsid w:val="003732CE"/>
    <w:rsid w:val="003814C4"/>
    <w:rsid w:val="00381522"/>
    <w:rsid w:val="00382098"/>
    <w:rsid w:val="00382D3F"/>
    <w:rsid w:val="0039020B"/>
    <w:rsid w:val="0039022A"/>
    <w:rsid w:val="00391762"/>
    <w:rsid w:val="003937FB"/>
    <w:rsid w:val="00395142"/>
    <w:rsid w:val="003A51F4"/>
    <w:rsid w:val="003D1B52"/>
    <w:rsid w:val="003D554A"/>
    <w:rsid w:val="003D70C4"/>
    <w:rsid w:val="003E21B2"/>
    <w:rsid w:val="003E5777"/>
    <w:rsid w:val="003E7D78"/>
    <w:rsid w:val="003F4F70"/>
    <w:rsid w:val="003F53AB"/>
    <w:rsid w:val="00403936"/>
    <w:rsid w:val="0043027D"/>
    <w:rsid w:val="00434400"/>
    <w:rsid w:val="00434929"/>
    <w:rsid w:val="004436E8"/>
    <w:rsid w:val="00443968"/>
    <w:rsid w:val="004503B2"/>
    <w:rsid w:val="004508F1"/>
    <w:rsid w:val="00452688"/>
    <w:rsid w:val="004532DF"/>
    <w:rsid w:val="00456031"/>
    <w:rsid w:val="00460A59"/>
    <w:rsid w:val="00464127"/>
    <w:rsid w:val="00466872"/>
    <w:rsid w:val="00467D7F"/>
    <w:rsid w:val="00471035"/>
    <w:rsid w:val="004743A5"/>
    <w:rsid w:val="00480F9C"/>
    <w:rsid w:val="004924C5"/>
    <w:rsid w:val="00493638"/>
    <w:rsid w:val="0049516C"/>
    <w:rsid w:val="004A1945"/>
    <w:rsid w:val="004A1C06"/>
    <w:rsid w:val="004A7EA1"/>
    <w:rsid w:val="004B020F"/>
    <w:rsid w:val="004B0348"/>
    <w:rsid w:val="004B1A6D"/>
    <w:rsid w:val="004B3928"/>
    <w:rsid w:val="004B78F0"/>
    <w:rsid w:val="004C5676"/>
    <w:rsid w:val="004E138A"/>
    <w:rsid w:val="004E179E"/>
    <w:rsid w:val="004E4D1B"/>
    <w:rsid w:val="004E6A08"/>
    <w:rsid w:val="004F1D5F"/>
    <w:rsid w:val="004F5FD1"/>
    <w:rsid w:val="005027FF"/>
    <w:rsid w:val="00505C88"/>
    <w:rsid w:val="00505E80"/>
    <w:rsid w:val="00517D14"/>
    <w:rsid w:val="00534A47"/>
    <w:rsid w:val="005426CF"/>
    <w:rsid w:val="00551726"/>
    <w:rsid w:val="00553603"/>
    <w:rsid w:val="00567A16"/>
    <w:rsid w:val="00572CD2"/>
    <w:rsid w:val="00573BFC"/>
    <w:rsid w:val="0057511C"/>
    <w:rsid w:val="0057651C"/>
    <w:rsid w:val="00576DC7"/>
    <w:rsid w:val="00596E0C"/>
    <w:rsid w:val="005A246E"/>
    <w:rsid w:val="005A2E31"/>
    <w:rsid w:val="005A3CB3"/>
    <w:rsid w:val="005B5B59"/>
    <w:rsid w:val="005B65D8"/>
    <w:rsid w:val="005C5A04"/>
    <w:rsid w:val="005D7FDE"/>
    <w:rsid w:val="005E5936"/>
    <w:rsid w:val="00603E99"/>
    <w:rsid w:val="00610382"/>
    <w:rsid w:val="00612F20"/>
    <w:rsid w:val="006138DA"/>
    <w:rsid w:val="00620C55"/>
    <w:rsid w:val="0063147D"/>
    <w:rsid w:val="00633071"/>
    <w:rsid w:val="00642AFD"/>
    <w:rsid w:val="00643D6D"/>
    <w:rsid w:val="00645DE3"/>
    <w:rsid w:val="00652DA7"/>
    <w:rsid w:val="00663B71"/>
    <w:rsid w:val="00667F1A"/>
    <w:rsid w:val="0067353B"/>
    <w:rsid w:val="00673655"/>
    <w:rsid w:val="00675629"/>
    <w:rsid w:val="00676A7B"/>
    <w:rsid w:val="00685DEE"/>
    <w:rsid w:val="00686429"/>
    <w:rsid w:val="0069616B"/>
    <w:rsid w:val="006A5251"/>
    <w:rsid w:val="006A63AB"/>
    <w:rsid w:val="006A6FB8"/>
    <w:rsid w:val="006B05A4"/>
    <w:rsid w:val="006B2FF4"/>
    <w:rsid w:val="006C15E4"/>
    <w:rsid w:val="006C25D6"/>
    <w:rsid w:val="006C2D0C"/>
    <w:rsid w:val="006D51B8"/>
    <w:rsid w:val="006D559C"/>
    <w:rsid w:val="006D5F77"/>
    <w:rsid w:val="006F32ED"/>
    <w:rsid w:val="00700466"/>
    <w:rsid w:val="0070581C"/>
    <w:rsid w:val="007064C6"/>
    <w:rsid w:val="007077D3"/>
    <w:rsid w:val="00720F73"/>
    <w:rsid w:val="0072196B"/>
    <w:rsid w:val="00721A6D"/>
    <w:rsid w:val="00723372"/>
    <w:rsid w:val="00724539"/>
    <w:rsid w:val="00731ACA"/>
    <w:rsid w:val="00734A94"/>
    <w:rsid w:val="00734ECD"/>
    <w:rsid w:val="00752C43"/>
    <w:rsid w:val="0076436B"/>
    <w:rsid w:val="00767A80"/>
    <w:rsid w:val="007700B7"/>
    <w:rsid w:val="00772980"/>
    <w:rsid w:val="0077486D"/>
    <w:rsid w:val="007751F8"/>
    <w:rsid w:val="00790F01"/>
    <w:rsid w:val="00793E0A"/>
    <w:rsid w:val="0079560F"/>
    <w:rsid w:val="007A066B"/>
    <w:rsid w:val="007A285D"/>
    <w:rsid w:val="007A30CF"/>
    <w:rsid w:val="007B0005"/>
    <w:rsid w:val="007B32AE"/>
    <w:rsid w:val="007B3BCC"/>
    <w:rsid w:val="007B4964"/>
    <w:rsid w:val="007B78AC"/>
    <w:rsid w:val="007C0FD3"/>
    <w:rsid w:val="007C378D"/>
    <w:rsid w:val="007C4C8C"/>
    <w:rsid w:val="007C4D2C"/>
    <w:rsid w:val="007C6BCE"/>
    <w:rsid w:val="007D55EB"/>
    <w:rsid w:val="007D5C9A"/>
    <w:rsid w:val="007E6A9D"/>
    <w:rsid w:val="007F2A0C"/>
    <w:rsid w:val="00802FE8"/>
    <w:rsid w:val="008032B3"/>
    <w:rsid w:val="008205C4"/>
    <w:rsid w:val="008243A9"/>
    <w:rsid w:val="008266BF"/>
    <w:rsid w:val="00826CAD"/>
    <w:rsid w:val="00827178"/>
    <w:rsid w:val="00837560"/>
    <w:rsid w:val="00837F02"/>
    <w:rsid w:val="00840FE8"/>
    <w:rsid w:val="00842231"/>
    <w:rsid w:val="008501BB"/>
    <w:rsid w:val="00851B9E"/>
    <w:rsid w:val="00854306"/>
    <w:rsid w:val="008632A6"/>
    <w:rsid w:val="008728F0"/>
    <w:rsid w:val="00882C8F"/>
    <w:rsid w:val="00883B05"/>
    <w:rsid w:val="00894DAE"/>
    <w:rsid w:val="00895ACD"/>
    <w:rsid w:val="00896E29"/>
    <w:rsid w:val="00897889"/>
    <w:rsid w:val="00897E07"/>
    <w:rsid w:val="008A1E86"/>
    <w:rsid w:val="008A6207"/>
    <w:rsid w:val="008B30D6"/>
    <w:rsid w:val="008C4A9E"/>
    <w:rsid w:val="008C4E62"/>
    <w:rsid w:val="008D5DCA"/>
    <w:rsid w:val="008D7DC9"/>
    <w:rsid w:val="008E7AE2"/>
    <w:rsid w:val="00907A2F"/>
    <w:rsid w:val="00921947"/>
    <w:rsid w:val="00922549"/>
    <w:rsid w:val="00923970"/>
    <w:rsid w:val="009356E4"/>
    <w:rsid w:val="00937E6E"/>
    <w:rsid w:val="00940A44"/>
    <w:rsid w:val="00946F5E"/>
    <w:rsid w:val="00951A1F"/>
    <w:rsid w:val="009731C8"/>
    <w:rsid w:val="00975835"/>
    <w:rsid w:val="00996D98"/>
    <w:rsid w:val="009A4383"/>
    <w:rsid w:val="009B0FC4"/>
    <w:rsid w:val="009B5361"/>
    <w:rsid w:val="009B6C17"/>
    <w:rsid w:val="009C1D9B"/>
    <w:rsid w:val="009C25C7"/>
    <w:rsid w:val="009C5E3F"/>
    <w:rsid w:val="009D585B"/>
    <w:rsid w:val="009E28F0"/>
    <w:rsid w:val="009E3DB5"/>
    <w:rsid w:val="009E4F67"/>
    <w:rsid w:val="009E78B8"/>
    <w:rsid w:val="009F3B40"/>
    <w:rsid w:val="00A106DA"/>
    <w:rsid w:val="00A12F12"/>
    <w:rsid w:val="00A32479"/>
    <w:rsid w:val="00A42E11"/>
    <w:rsid w:val="00A46440"/>
    <w:rsid w:val="00A53D70"/>
    <w:rsid w:val="00A60A19"/>
    <w:rsid w:val="00A60C2D"/>
    <w:rsid w:val="00A6402F"/>
    <w:rsid w:val="00A7006E"/>
    <w:rsid w:val="00A704F8"/>
    <w:rsid w:val="00A74BF5"/>
    <w:rsid w:val="00A750F5"/>
    <w:rsid w:val="00A825BF"/>
    <w:rsid w:val="00A8316A"/>
    <w:rsid w:val="00A85B58"/>
    <w:rsid w:val="00A86303"/>
    <w:rsid w:val="00A86D81"/>
    <w:rsid w:val="00A86D8C"/>
    <w:rsid w:val="00A92E4B"/>
    <w:rsid w:val="00A92FEC"/>
    <w:rsid w:val="00AA1F56"/>
    <w:rsid w:val="00AC0FEF"/>
    <w:rsid w:val="00AC1405"/>
    <w:rsid w:val="00AC48DF"/>
    <w:rsid w:val="00AC7D95"/>
    <w:rsid w:val="00AD4071"/>
    <w:rsid w:val="00AE1475"/>
    <w:rsid w:val="00AE38F9"/>
    <w:rsid w:val="00AE64F5"/>
    <w:rsid w:val="00AE6CB9"/>
    <w:rsid w:val="00AF7AFC"/>
    <w:rsid w:val="00B050CE"/>
    <w:rsid w:val="00B056BC"/>
    <w:rsid w:val="00B13DC7"/>
    <w:rsid w:val="00B167D7"/>
    <w:rsid w:val="00B31622"/>
    <w:rsid w:val="00B33D89"/>
    <w:rsid w:val="00B33E9B"/>
    <w:rsid w:val="00B46178"/>
    <w:rsid w:val="00B5432F"/>
    <w:rsid w:val="00B54D8C"/>
    <w:rsid w:val="00B556AE"/>
    <w:rsid w:val="00B56BC2"/>
    <w:rsid w:val="00B60DFF"/>
    <w:rsid w:val="00B62E3B"/>
    <w:rsid w:val="00B65730"/>
    <w:rsid w:val="00B75222"/>
    <w:rsid w:val="00B925DF"/>
    <w:rsid w:val="00B97B31"/>
    <w:rsid w:val="00B97C72"/>
    <w:rsid w:val="00BA138E"/>
    <w:rsid w:val="00BA1B7B"/>
    <w:rsid w:val="00BA23B2"/>
    <w:rsid w:val="00BA2E5B"/>
    <w:rsid w:val="00BB5192"/>
    <w:rsid w:val="00BC3387"/>
    <w:rsid w:val="00BC6797"/>
    <w:rsid w:val="00BC6D73"/>
    <w:rsid w:val="00BD012A"/>
    <w:rsid w:val="00BD1438"/>
    <w:rsid w:val="00BE2B20"/>
    <w:rsid w:val="00BE436B"/>
    <w:rsid w:val="00BF3A34"/>
    <w:rsid w:val="00BF3FE1"/>
    <w:rsid w:val="00C217CF"/>
    <w:rsid w:val="00C24A18"/>
    <w:rsid w:val="00C32631"/>
    <w:rsid w:val="00C359C5"/>
    <w:rsid w:val="00C43DCA"/>
    <w:rsid w:val="00C5041E"/>
    <w:rsid w:val="00C51127"/>
    <w:rsid w:val="00C514FE"/>
    <w:rsid w:val="00C53EB7"/>
    <w:rsid w:val="00C83B9F"/>
    <w:rsid w:val="00C97D99"/>
    <w:rsid w:val="00CA15D2"/>
    <w:rsid w:val="00CA39FF"/>
    <w:rsid w:val="00CB622D"/>
    <w:rsid w:val="00CC47FB"/>
    <w:rsid w:val="00CD0635"/>
    <w:rsid w:val="00CD424B"/>
    <w:rsid w:val="00CE0468"/>
    <w:rsid w:val="00CE6B0F"/>
    <w:rsid w:val="00D022A9"/>
    <w:rsid w:val="00D05947"/>
    <w:rsid w:val="00D10660"/>
    <w:rsid w:val="00D1547B"/>
    <w:rsid w:val="00D20578"/>
    <w:rsid w:val="00D349F8"/>
    <w:rsid w:val="00D41EDF"/>
    <w:rsid w:val="00D430F4"/>
    <w:rsid w:val="00D43475"/>
    <w:rsid w:val="00D43491"/>
    <w:rsid w:val="00D447C3"/>
    <w:rsid w:val="00D63756"/>
    <w:rsid w:val="00D83C02"/>
    <w:rsid w:val="00D86373"/>
    <w:rsid w:val="00D953E4"/>
    <w:rsid w:val="00DB17B1"/>
    <w:rsid w:val="00DB1D13"/>
    <w:rsid w:val="00DB3A0D"/>
    <w:rsid w:val="00DC0AC6"/>
    <w:rsid w:val="00DC12F1"/>
    <w:rsid w:val="00DC1A25"/>
    <w:rsid w:val="00DC7774"/>
    <w:rsid w:val="00DD2464"/>
    <w:rsid w:val="00DD331A"/>
    <w:rsid w:val="00DD4435"/>
    <w:rsid w:val="00DD5519"/>
    <w:rsid w:val="00DD73EA"/>
    <w:rsid w:val="00DE34D5"/>
    <w:rsid w:val="00E03DDE"/>
    <w:rsid w:val="00E05736"/>
    <w:rsid w:val="00E07E9B"/>
    <w:rsid w:val="00E15BC4"/>
    <w:rsid w:val="00E22A3E"/>
    <w:rsid w:val="00E2554E"/>
    <w:rsid w:val="00E3149E"/>
    <w:rsid w:val="00E318E2"/>
    <w:rsid w:val="00E36E7D"/>
    <w:rsid w:val="00E41573"/>
    <w:rsid w:val="00E47262"/>
    <w:rsid w:val="00E4769C"/>
    <w:rsid w:val="00E51BD2"/>
    <w:rsid w:val="00E54CAE"/>
    <w:rsid w:val="00E610F1"/>
    <w:rsid w:val="00E6486C"/>
    <w:rsid w:val="00E654BB"/>
    <w:rsid w:val="00E715FC"/>
    <w:rsid w:val="00EA1154"/>
    <w:rsid w:val="00EB3027"/>
    <w:rsid w:val="00ED0639"/>
    <w:rsid w:val="00ED2E0C"/>
    <w:rsid w:val="00ED3CAE"/>
    <w:rsid w:val="00EF4222"/>
    <w:rsid w:val="00F06B50"/>
    <w:rsid w:val="00F06FDC"/>
    <w:rsid w:val="00F13077"/>
    <w:rsid w:val="00F13DA7"/>
    <w:rsid w:val="00F205AD"/>
    <w:rsid w:val="00F332FF"/>
    <w:rsid w:val="00F441A1"/>
    <w:rsid w:val="00F455E2"/>
    <w:rsid w:val="00F45CD8"/>
    <w:rsid w:val="00F51DB9"/>
    <w:rsid w:val="00F57E58"/>
    <w:rsid w:val="00F61FA0"/>
    <w:rsid w:val="00F670DD"/>
    <w:rsid w:val="00F709BE"/>
    <w:rsid w:val="00F71963"/>
    <w:rsid w:val="00F8061D"/>
    <w:rsid w:val="00F90B9A"/>
    <w:rsid w:val="00F93AE6"/>
    <w:rsid w:val="00FB2B27"/>
    <w:rsid w:val="00FB4091"/>
    <w:rsid w:val="00FB7320"/>
    <w:rsid w:val="00FC44EB"/>
    <w:rsid w:val="00FC4C71"/>
    <w:rsid w:val="00FC4E5A"/>
    <w:rsid w:val="00FD1F2A"/>
    <w:rsid w:val="00FD23E1"/>
    <w:rsid w:val="00FD56F1"/>
    <w:rsid w:val="00FE3208"/>
    <w:rsid w:val="00FF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2B3AA"/>
  <w15:docId w15:val="{8437D08E-BA75-4B39-ACCA-3B04C855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8F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78F0"/>
    <w:rPr>
      <w:sz w:val="18"/>
      <w:szCs w:val="18"/>
    </w:rPr>
  </w:style>
  <w:style w:type="paragraph" w:styleId="CommentText">
    <w:name w:val="annotation text"/>
    <w:basedOn w:val="Normal"/>
    <w:link w:val="CommentTextChar"/>
    <w:uiPriority w:val="99"/>
    <w:semiHidden/>
    <w:unhideWhenUsed/>
    <w:rsid w:val="004B78F0"/>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4B78F0"/>
    <w:rPr>
      <w:rFonts w:eastAsiaTheme="minorEastAsia"/>
      <w:sz w:val="24"/>
      <w:szCs w:val="24"/>
    </w:rPr>
  </w:style>
  <w:style w:type="paragraph" w:styleId="ListParagraph">
    <w:name w:val="List Paragraph"/>
    <w:basedOn w:val="Normal"/>
    <w:uiPriority w:val="34"/>
    <w:qFormat/>
    <w:rsid w:val="004B78F0"/>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4B7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F0"/>
    <w:rPr>
      <w:rFonts w:ascii="Segoe UI" w:hAnsi="Segoe UI" w:cs="Segoe UI"/>
      <w:sz w:val="18"/>
      <w:szCs w:val="18"/>
    </w:rPr>
  </w:style>
  <w:style w:type="paragraph" w:styleId="Header">
    <w:name w:val="header"/>
    <w:basedOn w:val="Normal"/>
    <w:link w:val="HeaderChar"/>
    <w:uiPriority w:val="99"/>
    <w:unhideWhenUsed/>
    <w:rsid w:val="00DC1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F1"/>
  </w:style>
  <w:style w:type="paragraph" w:styleId="Footer">
    <w:name w:val="footer"/>
    <w:basedOn w:val="Normal"/>
    <w:link w:val="FooterChar"/>
    <w:uiPriority w:val="99"/>
    <w:unhideWhenUsed/>
    <w:rsid w:val="00DC1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F1"/>
  </w:style>
  <w:style w:type="paragraph" w:styleId="CommentSubject">
    <w:name w:val="annotation subject"/>
    <w:basedOn w:val="CommentText"/>
    <w:next w:val="CommentText"/>
    <w:link w:val="CommentSubjectChar"/>
    <w:uiPriority w:val="99"/>
    <w:semiHidden/>
    <w:unhideWhenUsed/>
    <w:rsid w:val="006A5251"/>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6A5251"/>
    <w:rPr>
      <w:rFonts w:eastAsiaTheme="minorEastAsia"/>
      <w:b/>
      <w:bCs/>
      <w:sz w:val="20"/>
      <w:szCs w:val="20"/>
    </w:rPr>
  </w:style>
  <w:style w:type="paragraph" w:styleId="Revision">
    <w:name w:val="Revision"/>
    <w:hidden/>
    <w:uiPriority w:val="99"/>
    <w:semiHidden/>
    <w:rsid w:val="00A825BF"/>
    <w:pPr>
      <w:spacing w:after="0" w:line="240" w:lineRule="auto"/>
    </w:pPr>
  </w:style>
  <w:style w:type="table" w:styleId="GridTable4-Accent5">
    <w:name w:val="Grid Table 4 Accent 5"/>
    <w:basedOn w:val="TableNormal"/>
    <w:uiPriority w:val="49"/>
    <w:rsid w:val="00A12F1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FooterAddress">
    <w:name w:val="Footer Address"/>
    <w:qFormat/>
    <w:rsid w:val="00ED3CAE"/>
    <w:pPr>
      <w:tabs>
        <w:tab w:val="center" w:pos="4680"/>
        <w:tab w:val="right" w:pos="9360"/>
      </w:tabs>
      <w:spacing w:after="0" w:line="240" w:lineRule="auto"/>
    </w:pPr>
    <w:rPr>
      <w:rFonts w:ascii="Calibri" w:eastAsia="Times New Roman" w:hAnsi="Calibri" w:cs="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455266">
      <w:bodyDiv w:val="1"/>
      <w:marLeft w:val="0"/>
      <w:marRight w:val="0"/>
      <w:marTop w:val="0"/>
      <w:marBottom w:val="0"/>
      <w:divBdr>
        <w:top w:val="none" w:sz="0" w:space="0" w:color="auto"/>
        <w:left w:val="none" w:sz="0" w:space="0" w:color="auto"/>
        <w:bottom w:val="none" w:sz="0" w:space="0" w:color="auto"/>
        <w:right w:val="none" w:sz="0" w:space="0" w:color="auto"/>
      </w:divBdr>
    </w:div>
    <w:div w:id="1314019409">
      <w:bodyDiv w:val="1"/>
      <w:marLeft w:val="0"/>
      <w:marRight w:val="0"/>
      <w:marTop w:val="0"/>
      <w:marBottom w:val="0"/>
      <w:divBdr>
        <w:top w:val="none" w:sz="0" w:space="0" w:color="auto"/>
        <w:left w:val="none" w:sz="0" w:space="0" w:color="auto"/>
        <w:bottom w:val="none" w:sz="0" w:space="0" w:color="auto"/>
        <w:right w:val="none" w:sz="0" w:space="0" w:color="auto"/>
      </w:divBdr>
    </w:div>
    <w:div w:id="1651442626">
      <w:bodyDiv w:val="1"/>
      <w:marLeft w:val="0"/>
      <w:marRight w:val="0"/>
      <w:marTop w:val="0"/>
      <w:marBottom w:val="0"/>
      <w:divBdr>
        <w:top w:val="none" w:sz="0" w:space="0" w:color="auto"/>
        <w:left w:val="none" w:sz="0" w:space="0" w:color="auto"/>
        <w:bottom w:val="none" w:sz="0" w:space="0" w:color="auto"/>
        <w:right w:val="none" w:sz="0" w:space="0" w:color="auto"/>
      </w:divBdr>
      <w:divsChild>
        <w:div w:id="763306272">
          <w:marLeft w:val="0"/>
          <w:marRight w:val="0"/>
          <w:marTop w:val="0"/>
          <w:marBottom w:val="0"/>
          <w:divBdr>
            <w:top w:val="none" w:sz="0" w:space="0" w:color="auto"/>
            <w:left w:val="none" w:sz="0" w:space="0" w:color="auto"/>
            <w:bottom w:val="none" w:sz="0" w:space="0" w:color="auto"/>
            <w:right w:val="none" w:sz="0" w:space="0" w:color="auto"/>
          </w:divBdr>
          <w:divsChild>
            <w:div w:id="86538279">
              <w:marLeft w:val="0"/>
              <w:marRight w:val="0"/>
              <w:marTop w:val="0"/>
              <w:marBottom w:val="0"/>
              <w:divBdr>
                <w:top w:val="none" w:sz="0" w:space="0" w:color="auto"/>
                <w:left w:val="none" w:sz="0" w:space="0" w:color="auto"/>
                <w:bottom w:val="none" w:sz="0" w:space="0" w:color="auto"/>
                <w:right w:val="none" w:sz="0" w:space="0" w:color="auto"/>
              </w:divBdr>
              <w:divsChild>
                <w:div w:id="21711547">
                  <w:marLeft w:val="0"/>
                  <w:marRight w:val="0"/>
                  <w:marTop w:val="0"/>
                  <w:marBottom w:val="0"/>
                  <w:divBdr>
                    <w:top w:val="none" w:sz="0" w:space="0" w:color="auto"/>
                    <w:left w:val="none" w:sz="0" w:space="0" w:color="auto"/>
                    <w:bottom w:val="none" w:sz="0" w:space="0" w:color="auto"/>
                    <w:right w:val="none" w:sz="0" w:space="0" w:color="auto"/>
                  </w:divBdr>
                  <w:divsChild>
                    <w:div w:id="4392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90179">
      <w:bodyDiv w:val="1"/>
      <w:marLeft w:val="0"/>
      <w:marRight w:val="0"/>
      <w:marTop w:val="0"/>
      <w:marBottom w:val="0"/>
      <w:divBdr>
        <w:top w:val="none" w:sz="0" w:space="0" w:color="auto"/>
        <w:left w:val="none" w:sz="0" w:space="0" w:color="auto"/>
        <w:bottom w:val="none" w:sz="0" w:space="0" w:color="auto"/>
        <w:right w:val="none" w:sz="0" w:space="0" w:color="auto"/>
      </w:divBdr>
      <w:divsChild>
        <w:div w:id="2101557400">
          <w:marLeft w:val="547"/>
          <w:marRight w:val="0"/>
          <w:marTop w:val="160"/>
          <w:marBottom w:val="0"/>
          <w:divBdr>
            <w:top w:val="none" w:sz="0" w:space="0" w:color="auto"/>
            <w:left w:val="none" w:sz="0" w:space="0" w:color="auto"/>
            <w:bottom w:val="none" w:sz="0" w:space="0" w:color="auto"/>
            <w:right w:val="none" w:sz="0" w:space="0" w:color="auto"/>
          </w:divBdr>
        </w:div>
        <w:div w:id="292297568">
          <w:marLeft w:val="547"/>
          <w:marRight w:val="0"/>
          <w:marTop w:val="160"/>
          <w:marBottom w:val="0"/>
          <w:divBdr>
            <w:top w:val="none" w:sz="0" w:space="0" w:color="auto"/>
            <w:left w:val="none" w:sz="0" w:space="0" w:color="auto"/>
            <w:bottom w:val="none" w:sz="0" w:space="0" w:color="auto"/>
            <w:right w:val="none" w:sz="0" w:space="0" w:color="auto"/>
          </w:divBdr>
        </w:div>
        <w:div w:id="1726103067">
          <w:marLeft w:val="547"/>
          <w:marRight w:val="0"/>
          <w:marTop w:val="160"/>
          <w:marBottom w:val="0"/>
          <w:divBdr>
            <w:top w:val="none" w:sz="0" w:space="0" w:color="auto"/>
            <w:left w:val="none" w:sz="0" w:space="0" w:color="auto"/>
            <w:bottom w:val="none" w:sz="0" w:space="0" w:color="auto"/>
            <w:right w:val="none" w:sz="0" w:space="0" w:color="auto"/>
          </w:divBdr>
        </w:div>
        <w:div w:id="623275410">
          <w:marLeft w:val="547"/>
          <w:marRight w:val="0"/>
          <w:marTop w:val="160"/>
          <w:marBottom w:val="0"/>
          <w:divBdr>
            <w:top w:val="none" w:sz="0" w:space="0" w:color="auto"/>
            <w:left w:val="none" w:sz="0" w:space="0" w:color="auto"/>
            <w:bottom w:val="none" w:sz="0" w:space="0" w:color="auto"/>
            <w:right w:val="none" w:sz="0" w:space="0" w:color="auto"/>
          </w:divBdr>
        </w:div>
        <w:div w:id="1796214879">
          <w:marLeft w:val="547"/>
          <w:marRight w:val="0"/>
          <w:marTop w:val="160"/>
          <w:marBottom w:val="0"/>
          <w:divBdr>
            <w:top w:val="none" w:sz="0" w:space="0" w:color="auto"/>
            <w:left w:val="none" w:sz="0" w:space="0" w:color="auto"/>
            <w:bottom w:val="none" w:sz="0" w:space="0" w:color="auto"/>
            <w:right w:val="none" w:sz="0" w:space="0" w:color="auto"/>
          </w:divBdr>
        </w:div>
        <w:div w:id="1572042550">
          <w:marLeft w:val="547"/>
          <w:marRight w:val="0"/>
          <w:marTop w:val="160"/>
          <w:marBottom w:val="0"/>
          <w:divBdr>
            <w:top w:val="none" w:sz="0" w:space="0" w:color="auto"/>
            <w:left w:val="none" w:sz="0" w:space="0" w:color="auto"/>
            <w:bottom w:val="none" w:sz="0" w:space="0" w:color="auto"/>
            <w:right w:val="none" w:sz="0" w:space="0" w:color="auto"/>
          </w:divBdr>
        </w:div>
      </w:divsChild>
    </w:div>
    <w:div w:id="2119450132">
      <w:bodyDiv w:val="1"/>
      <w:marLeft w:val="0"/>
      <w:marRight w:val="0"/>
      <w:marTop w:val="0"/>
      <w:marBottom w:val="0"/>
      <w:divBdr>
        <w:top w:val="none" w:sz="0" w:space="0" w:color="auto"/>
        <w:left w:val="none" w:sz="0" w:space="0" w:color="auto"/>
        <w:bottom w:val="none" w:sz="0" w:space="0" w:color="auto"/>
        <w:right w:val="none" w:sz="0" w:space="0" w:color="auto"/>
      </w:divBdr>
      <w:divsChild>
        <w:div w:id="763460355">
          <w:marLeft w:val="446"/>
          <w:marRight w:val="0"/>
          <w:marTop w:val="0"/>
          <w:marBottom w:val="0"/>
          <w:divBdr>
            <w:top w:val="none" w:sz="0" w:space="0" w:color="auto"/>
            <w:left w:val="none" w:sz="0" w:space="0" w:color="auto"/>
            <w:bottom w:val="none" w:sz="0" w:space="0" w:color="auto"/>
            <w:right w:val="none" w:sz="0" w:space="0" w:color="auto"/>
          </w:divBdr>
        </w:div>
        <w:div w:id="1054355416">
          <w:marLeft w:val="446"/>
          <w:marRight w:val="0"/>
          <w:marTop w:val="0"/>
          <w:marBottom w:val="0"/>
          <w:divBdr>
            <w:top w:val="none" w:sz="0" w:space="0" w:color="auto"/>
            <w:left w:val="none" w:sz="0" w:space="0" w:color="auto"/>
            <w:bottom w:val="none" w:sz="0" w:space="0" w:color="auto"/>
            <w:right w:val="none" w:sz="0" w:space="0" w:color="auto"/>
          </w:divBdr>
        </w:div>
        <w:div w:id="14302031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796F-4812-2747-B4BA-6E3BCCDF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6541</Words>
  <Characters>37288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Thayer</dc:creator>
  <cp:keywords/>
  <dc:description/>
  <cp:lastModifiedBy>Mickey Urdea</cp:lastModifiedBy>
  <cp:revision>3</cp:revision>
  <cp:lastPrinted>2020-03-25T01:35:00Z</cp:lastPrinted>
  <dcterms:created xsi:type="dcterms:W3CDTF">2020-09-12T21:43:00Z</dcterms:created>
  <dcterms:modified xsi:type="dcterms:W3CDTF">2020-09-12T21:44:00Z</dcterms:modified>
</cp:coreProperties>
</file>